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陳拱北教授紀念獎</w:t>
      </w:r>
      <w:r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  <w:r w:rsidR="000272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于明暉教授、李敏西先生(84年10月)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邱弘毅副教授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李文宗副教授、楊俊毓副教授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6129" w:type="dxa"/>
          </w:tcPr>
          <w:p w:rsidR="003B44A2" w:rsidRPr="003758B6" w:rsidRDefault="00D85211" w:rsidP="005623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蕭正光副教授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從缺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呂宗學醫師</w:t>
            </w:r>
          </w:p>
          <w:p w:rsidR="00B875E6" w:rsidRPr="003758B6" w:rsidRDefault="003758B6" w:rsidP="00B875E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5B5AAD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6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Lu, Tsung-Hsueh, Meng-Chih Lee, and Ming-Chih Chou. "Accuracy of cause-of-death coding in Taiwan: types of miscoding and effects on mortality statistics." International journal of epidemiology 29.2 (2000): 336-343</w:t>
              </w:r>
            </w:hyperlink>
            <w:r w:rsidR="003B44A2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李中一副教授</w:t>
            </w:r>
          </w:p>
          <w:p w:rsidR="00B875E6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B875E6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7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Li, Chung-Yi, Shwu Chong Wu, and Shi Wu Wen. "Longest held occupation in a lifetime and risk of disability in activities of daily living." </w:t>
              </w:r>
              <w:r w:rsidR="003B44A2" w:rsidRPr="003758B6">
                <w:rPr>
                  <w:rStyle w:val="a4"/>
                  <w:rFonts w:ascii="Arial" w:eastAsia="標楷體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Occupational and environmental medicine</w:t>
              </w:r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 57.8 (2000): 550-554.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簡吟曲博士</w:t>
            </w:r>
          </w:p>
          <w:p w:rsidR="003B44A2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8" w:anchor="t=article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Chien, Yin-Chu, et al. "Serologic markers of Epstein–Barr virus infection and nasopharyngeal carcinoma in Taiwanese men." New England Journal of Medicine 345.26 (2001): 1877-1882.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蔡詩偉副教授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9" w:history="1"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Tsai, Shih-Wei, and Kai-Kuang Wu. "Determination of ethylene oxide by solid-phase microextraction device with on-fiber derivatization." </w:t>
              </w:r>
              <w:r w:rsidR="003B44A2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Chromatography A</w:t>
              </w:r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991.1 (2003): 1-11.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楊懷壹博士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0" w:anchor="t=article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Yang, Hwai-I., et al. "Hepatitis B e antigen and the risk of hepatocellular carcinoma."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New England Journal of Medicine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347.3 (2002): 168-174.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鄭雅文老師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張照勤副教授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1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Chao-Chin, et al. "Epidemiologic relationship between fluoroquinolone-resistant Salmonella enterica serovar Choleraesuis strains isolated from humans and pigs in Taiwan (1997 to 2002)."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microbiology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43.6 (2005): 2798-2804.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十三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藍郁青老師(SCI)/蔡憶文副研究員(SSCI)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Lan, Yu-Ching, et al. "Molecular Epidemiology of Severe Acute Respiratory Syndrome–Associated Coronavirus Infections in Taiwan."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Journal of 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lastRenderedPageBreak/>
                <w:t>Infectious Diseases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191.9 (2005): 1478-1489.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十四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張大元博士(SCI)/從缺(SSCI)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Ta-Yuan, et al. "Effects of occupational noise exposure on 24-hour ambulatory vascular properties in male workers."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Environmental health perspectives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(2007): 1660-1664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李尹暘主任</w:t>
            </w:r>
          </w:p>
          <w:p w:rsidR="00DD4821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4" w:history="1">
              <w:r w:rsidR="00DD4821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Lee, Yin-Yang, and Julia L. Lin. "The effects of trust in physician on self-efficacy, adherence and diabetes outcomes." Social science &amp; medicine 68.6 (2009): 1060-1068</w:t>
              </w:r>
            </w:hyperlink>
            <w:r w:rsidR="00DD4821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陳娟瑜副教授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5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Chuan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Yu, et al. "Three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year mortality and predictors after release: a longitudinal study of the first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time drug offenders in Taiwan."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Addiction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105.5 (2010): 920-927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李美璇博士</w:t>
            </w:r>
          </w:p>
          <w:p w:rsidR="007D6EAF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6" w:history="1">
              <w:r w:rsidR="00B16AB8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Mei-Hsuan, Lee, et al. "Hepatitis C virus seromarkers and subsequent risk of hepatocellular carcinoma: long-term predictors from a community-based cohort study." Journal of Clinical Oncology 28.30 (2010): 4587-4593.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詹毓哲醫師</w:t>
            </w:r>
          </w:p>
          <w:p w:rsidR="007D6EAF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7" w:history="1"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Tsan, Yu-Tse, et al. "Statins and the risk of hepatocellular carcinoma in patients with hepatitis B virus infection." </w:t>
              </w:r>
              <w:r w:rsidR="007D6EAF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oncology</w:t>
              </w:r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30.6 (2012): 623-630.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張榮偉醫師(國立成功大學醫學院環境醫學研究所博士)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8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Jung-Wei, et al. "Hyperuricemia after exposure to polychlorinated dibenzo-p-dioxins and dibenzofurans near a highly contaminated area."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Epidemiology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24.4 (2013): 582-589.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陳揚卿博士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9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Yang-Ching, et al. "Pathway from central obesity to childhood asthma. Physical fitness and sedentary time are leading factors."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American journal of respiratory and critical care medicine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189.10 (2014): 1194-1203.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吳佳芳博士</w:t>
            </w:r>
          </w:p>
          <w:p w:rsidR="00147BAD" w:rsidRPr="003758B6" w:rsidRDefault="003758B6" w:rsidP="00057DC9">
            <w:pPr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0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Wu, Chia-Fang, et al. "Ambient melamine exposure and urinary biomarkers of early renal injury."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American Society of Nephrology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(2015): ASN-2014121233.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潘文驥博士</w:t>
            </w:r>
          </w:p>
          <w:p w:rsidR="00147BAD" w:rsidRDefault="003758B6" w:rsidP="00057DC9">
            <w:pPr>
              <w:rPr>
                <w:rStyle w:val="a4"/>
                <w:rFonts w:ascii="Arial" w:eastAsia="Times New Roman Uni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1" w:history="1"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Pan, Wen-Chi, et al. "Fine particle pollution, alanine transaminase, and liver cancer: A Taiwanese prospective cohort study (REVEAL-HBV)." 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National Cancer Institute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108.3 (2016): djv341.</w:t>
              </w:r>
            </w:hyperlink>
          </w:p>
          <w:p w:rsidR="009A6AAD" w:rsidRPr="003758B6" w:rsidRDefault="009A6AAD" w:rsidP="00057DC9">
            <w:pPr>
              <w:rPr>
                <w:rFonts w:ascii="Arial" w:eastAsia="Times New Roman Uni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A6AAD" w:rsidRPr="003758B6" w:rsidTr="00D91AD4">
        <w:tc>
          <w:tcPr>
            <w:tcW w:w="1525" w:type="dxa"/>
          </w:tcPr>
          <w:p w:rsidR="009A6AAD" w:rsidRPr="00B071A9" w:rsidRDefault="009A6AAD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二十三</w:t>
            </w:r>
          </w:p>
        </w:tc>
        <w:tc>
          <w:tcPr>
            <w:tcW w:w="6129" w:type="dxa"/>
          </w:tcPr>
          <w:p w:rsidR="009A6AAD" w:rsidRPr="00B071A9" w:rsidRDefault="009A6AAD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李品慧醫師</w:t>
            </w:r>
          </w:p>
          <w:p w:rsidR="009A6AAD" w:rsidRPr="00B071A9" w:rsidRDefault="009A6AAD" w:rsidP="009A6AA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hyperlink r:id="rId22" w:history="1"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Lee, Pin-Hui, et al. " Glycemic Control and the Risk of Tuberculosis: A Cohort Study " Journal of the PLoS Med 3(8)</w:t>
              </w:r>
              <w:r w:rsidRPr="00B071A9">
                <w:rPr>
                  <w:rStyle w:val="a4"/>
                  <w:rFonts w:ascii="Arial" w:eastAsia="標楷體" w:hAnsi="Arial" w:cs="Arial" w:hint="eastAsia"/>
                  <w:color w:val="000000" w:themeColor="text1"/>
                  <w:sz w:val="16"/>
                  <w:szCs w:val="16"/>
                </w:rPr>
                <w:t>：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e1002072.</w:t>
              </w:r>
            </w:hyperlink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 </w:t>
            </w:r>
            <w:r w:rsidRPr="00B071A9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7272" w:rsidRPr="003758B6" w:rsidTr="00D91AD4">
        <w:tc>
          <w:tcPr>
            <w:tcW w:w="1525" w:type="dxa"/>
          </w:tcPr>
          <w:p w:rsidR="00027272" w:rsidRPr="00B071A9" w:rsidRDefault="00027272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二十四</w:t>
            </w:r>
          </w:p>
        </w:tc>
        <w:tc>
          <w:tcPr>
            <w:tcW w:w="6129" w:type="dxa"/>
          </w:tcPr>
          <w:p w:rsidR="00027272" w:rsidRPr="0084114B" w:rsidRDefault="0084114B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114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蔡宗霖博士</w:t>
            </w:r>
          </w:p>
          <w:p w:rsidR="0084114B" w:rsidRPr="00B071A9" w:rsidRDefault="00FE047E" w:rsidP="0084114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84114B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r w:rsidR="0084114B"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Tsai, Tsung-Lin et al. " The decline in kidney function with chromium exposure is exacerbated with co-exposure to lead and cadmium. "  Kidney International 92(3):710-720</w:t>
            </w:r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二十五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詹大千博士</w:t>
            </w:r>
          </w:p>
          <w:p w:rsidR="00CB685F" w:rsidRPr="00F40F64" w:rsidRDefault="00FE047E" w:rsidP="00101D4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3" w:history="1">
              <w:r w:rsidR="00101D46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Ta-Chien Chan et al. “ </w:t>
              </w:r>
              <w:r w:rsidR="00CB685F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Long-Term Exposure to Ambient Fine Particulate Matter and Chronic Kidney Disease: A Cohort Study ENVIRONMENTAL HEALTH PERSPECTIVES Vol. 126, No.10, 107002-1~107002-7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二十六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王世亨</w:t>
            </w: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博士</w:t>
            </w:r>
          </w:p>
          <w:p w:rsidR="00CB685F" w:rsidRPr="00F40F64" w:rsidRDefault="00FE047E" w:rsidP="0067506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4" w:history="1">
              <w:r w:rsidR="00675069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Shi-Heng Wang et al. </w:t>
              </w:r>
              <w:r w:rsidR="00CB685F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”Advanced Paternal Age and Early Onset of Schizophrenia in Sporadic Cases: Not Confounded by Parental Polygenic Risk for Schizophrenia.” 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Biological Psychiatry 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86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: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56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-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64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80D70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二十七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鄭皓元醫師</w:t>
            </w:r>
          </w:p>
          <w:p w:rsidR="00CB685F" w:rsidRPr="0084114B" w:rsidRDefault="00FE047E" w:rsidP="00CD39C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CB685F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hyperlink r:id="rId25" w:history="1">
              <w:r w:rsidR="00CD39C8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Hao-Yuan Cheng</w:t>
              </w:r>
              <w:r w:rsidR="00675069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 et al. 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”Contact Tracing Assessment of COVID-19 Transmission Dynamics in Taiwan and Risk at Dif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f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erent Exposure Periods Before and After Symptom Onset. “ JAMA Intern Med </w:t>
              </w:r>
              <w:r w:rsidR="00CB685F" w:rsidRPr="00F213C9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1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80:1156-1163</w:t>
              </w:r>
            </w:hyperlink>
          </w:p>
        </w:tc>
      </w:tr>
      <w:tr w:rsidR="00C80D70" w:rsidRPr="003758B6" w:rsidTr="00D91AD4">
        <w:tc>
          <w:tcPr>
            <w:tcW w:w="1525" w:type="dxa"/>
          </w:tcPr>
          <w:p w:rsidR="00C80D70" w:rsidRDefault="00C80D70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C80D70" w:rsidRDefault="00C80D70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吳大洲生物統計師</w:t>
            </w:r>
          </w:p>
          <w:p w:rsidR="00C80D70" w:rsidRPr="00A45FA7" w:rsidRDefault="00C80D70" w:rsidP="009A6A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</w:pPr>
            <w:r w:rsidRPr="00A45FA7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論文連結：</w:t>
            </w:r>
            <w:hyperlink r:id="rId26" w:history="1">
              <w:r w:rsidR="00A45FA7" w:rsidRPr="00A45FA7">
                <w:rPr>
                  <w:rStyle w:val="a4"/>
                  <w:rFonts w:ascii="標楷體" w:eastAsia="標楷體" w:hAnsi="標楷體"/>
                  <w:b/>
                  <w:sz w:val="16"/>
                  <w:szCs w:val="16"/>
                </w:rPr>
                <w:t>Comparison of Estimated Effectiveness of Case-Based and Population-Based Interventions on COVID-19 Containment in Taiwan.</w:t>
              </w:r>
            </w:hyperlink>
          </w:p>
        </w:tc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5" w:rsidRDefault="00C04095" w:rsidP="00815938">
      <w:r>
        <w:separator/>
      </w:r>
    </w:p>
  </w:endnote>
  <w:endnote w:type="continuationSeparator" w:id="0">
    <w:p w:rsidR="00C04095" w:rsidRDefault="00C04095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Uni">
    <w:altName w:val="Malgun Gothic Semilight"/>
    <w:charset w:val="88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5" w:rsidRDefault="00C04095" w:rsidP="00815938">
      <w:r>
        <w:separator/>
      </w:r>
    </w:p>
  </w:footnote>
  <w:footnote w:type="continuationSeparator" w:id="0">
    <w:p w:rsidR="00C04095" w:rsidRDefault="00C04095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027272"/>
    <w:rsid w:val="00057DC9"/>
    <w:rsid w:val="00074518"/>
    <w:rsid w:val="00101D46"/>
    <w:rsid w:val="00147BAD"/>
    <w:rsid w:val="00234961"/>
    <w:rsid w:val="002B2514"/>
    <w:rsid w:val="003066D6"/>
    <w:rsid w:val="003758B6"/>
    <w:rsid w:val="00381C25"/>
    <w:rsid w:val="003B44A2"/>
    <w:rsid w:val="003D60EA"/>
    <w:rsid w:val="0049513E"/>
    <w:rsid w:val="004E47BC"/>
    <w:rsid w:val="005623C3"/>
    <w:rsid w:val="005644BA"/>
    <w:rsid w:val="005B5AAD"/>
    <w:rsid w:val="00675069"/>
    <w:rsid w:val="007721BC"/>
    <w:rsid w:val="007D6EAF"/>
    <w:rsid w:val="0081049E"/>
    <w:rsid w:val="00815938"/>
    <w:rsid w:val="0084114B"/>
    <w:rsid w:val="00877DB4"/>
    <w:rsid w:val="008F06B2"/>
    <w:rsid w:val="00972FEE"/>
    <w:rsid w:val="00987A5C"/>
    <w:rsid w:val="009A6AAD"/>
    <w:rsid w:val="009C5721"/>
    <w:rsid w:val="009E13C4"/>
    <w:rsid w:val="00A005B3"/>
    <w:rsid w:val="00A45FA7"/>
    <w:rsid w:val="00B071A9"/>
    <w:rsid w:val="00B16AB8"/>
    <w:rsid w:val="00B37CA7"/>
    <w:rsid w:val="00B875E6"/>
    <w:rsid w:val="00C04095"/>
    <w:rsid w:val="00C36720"/>
    <w:rsid w:val="00C80D70"/>
    <w:rsid w:val="00CB685F"/>
    <w:rsid w:val="00CD39C8"/>
    <w:rsid w:val="00D41CEC"/>
    <w:rsid w:val="00D85211"/>
    <w:rsid w:val="00D91AD4"/>
    <w:rsid w:val="00DD4821"/>
    <w:rsid w:val="00DF6C17"/>
    <w:rsid w:val="00F213C9"/>
    <w:rsid w:val="00F40F6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9E2E9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011610" TargetMode="External"/><Relationship Id="rId13" Type="http://schemas.openxmlformats.org/officeDocument/2006/relationships/hyperlink" Target="http://www.jstor.org/stable/4626989" TargetMode="External"/><Relationship Id="rId18" Type="http://schemas.openxmlformats.org/officeDocument/2006/relationships/hyperlink" Target="http://journals.lww.com/epidem/Abstract/2013/07000/Hyperuricemia_After_Exposure_to_Polychlorinated.16.aspx" TargetMode="External"/><Relationship Id="rId26" Type="http://schemas.openxmlformats.org/officeDocument/2006/relationships/hyperlink" Target="https://jamanetwork.com/journals/jamainternalmedicine/fullarticle/27783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ic.oup.com/jnci/article/108/3/djv341/2412412/Fine-Particle-Pollution-Alanine-Transaminase-and" TargetMode="External"/><Relationship Id="rId7" Type="http://schemas.openxmlformats.org/officeDocument/2006/relationships/hyperlink" Target="http://oem.bmj.com/content/57/8/550.short" TargetMode="External"/><Relationship Id="rId12" Type="http://schemas.openxmlformats.org/officeDocument/2006/relationships/hyperlink" Target="http://jid.oxfordjournals.org/content/191/9/1478.short" TargetMode="External"/><Relationship Id="rId17" Type="http://schemas.openxmlformats.org/officeDocument/2006/relationships/hyperlink" Target="http://ascopubs.org/doi/abs/10.1200/JCO.2011.36.0917" TargetMode="External"/><Relationship Id="rId25" Type="http://schemas.openxmlformats.org/officeDocument/2006/relationships/hyperlink" Target="https://jamanetwork.com/journals/jamainternalmedicine/fullarticle/27656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copubs.org/doi/abs/10.1200/JCO.2010.29.1500" TargetMode="External"/><Relationship Id="rId20" Type="http://schemas.openxmlformats.org/officeDocument/2006/relationships/hyperlink" Target="http://jasn.asnjournals.org/content/early/2015/06/03/ASN.2014121233.sh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c.oup.com/ije/article/29/2/336/758142/Accuracy-of-cause-of-death-coding-in-Taiwan-types" TargetMode="External"/><Relationship Id="rId11" Type="http://schemas.openxmlformats.org/officeDocument/2006/relationships/hyperlink" Target="http://jcm.asm.org/content/43/6/2798.short" TargetMode="External"/><Relationship Id="rId24" Type="http://schemas.openxmlformats.org/officeDocument/2006/relationships/hyperlink" Target="https://www.sciencedirect.com/science/article/pii/S00063223193006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library.wiley.com/doi/10.1111/j.1360-0443.2009.02894.x/full" TargetMode="External"/><Relationship Id="rId23" Type="http://schemas.openxmlformats.org/officeDocument/2006/relationships/hyperlink" Target="https://ehp.niehs.nih.gov/doi/full/10.1289/EHP33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ejm.org/doi/full/10.1056/NEJMoa013215" TargetMode="External"/><Relationship Id="rId19" Type="http://schemas.openxmlformats.org/officeDocument/2006/relationships/hyperlink" Target="http://www.atsjournals.org/doi/abs/10.1164/rccm.201401-0097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21967303002188" TargetMode="External"/><Relationship Id="rId14" Type="http://schemas.openxmlformats.org/officeDocument/2006/relationships/hyperlink" Target="http://www.sciencedirect.com/science/article/pii/S0277953608006734" TargetMode="External"/><Relationship Id="rId22" Type="http://schemas.openxmlformats.org/officeDocument/2006/relationships/hyperlink" Target="http://journals.plos.org/plosmedicine/article?id=10.1371/journal.pmed.10020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2022-11-14T06:28:00Z</dcterms:created>
  <dcterms:modified xsi:type="dcterms:W3CDTF">2022-11-14T06:28:00Z</dcterms:modified>
</cp:coreProperties>
</file>