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83D" w:rsidRPr="00915EFD" w:rsidRDefault="00915EFD" w:rsidP="0014783D">
      <w:pPr>
        <w:tabs>
          <w:tab w:val="left" w:pos="9000"/>
        </w:tabs>
        <w:ind w:right="-360"/>
        <w:jc w:val="center"/>
        <w:outlineLvl w:val="0"/>
        <w:rPr>
          <w:rFonts w:ascii="標楷體" w:eastAsia="標楷體" w:hAnsi="標楷體" w:cs="Arial"/>
          <w:b/>
          <w:sz w:val="32"/>
          <w:szCs w:val="28"/>
          <w:lang w:eastAsia="zh-TW"/>
        </w:rPr>
      </w:pPr>
      <w:r w:rsidRPr="00915EFD">
        <w:rPr>
          <w:rFonts w:ascii="標楷體" w:eastAsia="標楷體" w:hAnsi="標楷體" w:cs="Arial" w:hint="eastAsia"/>
          <w:b/>
          <w:sz w:val="32"/>
          <w:szCs w:val="28"/>
          <w:lang w:eastAsia="zh-TW"/>
        </w:rPr>
        <w:t>人因工程特論</w:t>
      </w:r>
    </w:p>
    <w:p w:rsidR="00915EFD" w:rsidRDefault="00915EFD" w:rsidP="0014783D">
      <w:pPr>
        <w:tabs>
          <w:tab w:val="left" w:pos="9000"/>
        </w:tabs>
        <w:ind w:right="-360"/>
        <w:jc w:val="center"/>
        <w:outlineLvl w:val="0"/>
        <w:rPr>
          <w:rFonts w:eastAsia="標楷體"/>
          <w:b/>
          <w:lang w:eastAsia="zh-TW"/>
        </w:rPr>
      </w:pPr>
      <w:r>
        <w:rPr>
          <w:rFonts w:eastAsia="標楷體" w:hint="eastAsia"/>
          <w:b/>
          <w:lang w:eastAsia="zh-TW"/>
        </w:rPr>
        <w:t>時間：</w:t>
      </w:r>
      <w:r w:rsidR="00C159B5">
        <w:rPr>
          <w:rFonts w:eastAsia="標楷體"/>
          <w:b/>
          <w:lang w:eastAsia="zh-TW"/>
        </w:rPr>
        <w:t>2019</w:t>
      </w:r>
      <w:r>
        <w:rPr>
          <w:rFonts w:eastAsia="標楷體" w:hint="eastAsia"/>
          <w:b/>
          <w:lang w:eastAsia="zh-TW"/>
        </w:rPr>
        <w:t>年</w:t>
      </w:r>
      <w:r>
        <w:rPr>
          <w:rFonts w:eastAsia="標楷體"/>
          <w:b/>
          <w:lang w:eastAsia="zh-TW"/>
        </w:rPr>
        <w:t>8</w:t>
      </w:r>
      <w:r>
        <w:rPr>
          <w:rFonts w:eastAsia="標楷體" w:hint="eastAsia"/>
          <w:b/>
          <w:lang w:eastAsia="zh-TW"/>
        </w:rPr>
        <w:t>月</w:t>
      </w:r>
      <w:r w:rsidR="00C159B5">
        <w:rPr>
          <w:rFonts w:eastAsia="標楷體"/>
          <w:b/>
          <w:lang w:eastAsia="zh-TW"/>
        </w:rPr>
        <w:t>12</w:t>
      </w:r>
      <w:r>
        <w:rPr>
          <w:rFonts w:eastAsia="標楷體" w:hint="eastAsia"/>
          <w:b/>
          <w:lang w:eastAsia="zh-TW"/>
        </w:rPr>
        <w:t>日至</w:t>
      </w:r>
      <w:r>
        <w:rPr>
          <w:rFonts w:eastAsia="標楷體"/>
          <w:b/>
          <w:lang w:eastAsia="zh-TW"/>
        </w:rPr>
        <w:t>8</w:t>
      </w:r>
      <w:r>
        <w:rPr>
          <w:rFonts w:eastAsia="標楷體" w:hint="eastAsia"/>
          <w:b/>
          <w:lang w:eastAsia="zh-TW"/>
        </w:rPr>
        <w:t>月</w:t>
      </w:r>
      <w:r w:rsidR="00C159B5">
        <w:rPr>
          <w:rFonts w:eastAsia="標楷體"/>
          <w:b/>
          <w:lang w:eastAsia="zh-TW"/>
        </w:rPr>
        <w:t>16</w:t>
      </w:r>
      <w:r>
        <w:rPr>
          <w:rFonts w:eastAsia="標楷體" w:hint="eastAsia"/>
          <w:b/>
          <w:lang w:eastAsia="zh-TW"/>
        </w:rPr>
        <w:t>日</w:t>
      </w:r>
    </w:p>
    <w:p w:rsidR="00915EFD" w:rsidRDefault="00915EFD" w:rsidP="00915EFD">
      <w:pPr>
        <w:jc w:val="center"/>
        <w:rPr>
          <w:rFonts w:eastAsia="標楷體"/>
          <w:bCs/>
          <w:lang w:eastAsia="zh-TW"/>
        </w:rPr>
      </w:pPr>
      <w:r>
        <w:rPr>
          <w:rFonts w:eastAsia="標楷體" w:hint="eastAsia"/>
          <w:bCs/>
          <w:lang w:eastAsia="zh-TW"/>
        </w:rPr>
        <w:t>地點：國立台灣大學</w:t>
      </w:r>
      <w:r>
        <w:rPr>
          <w:rFonts w:eastAsia="標楷體"/>
          <w:bCs/>
          <w:lang w:eastAsia="zh-TW"/>
        </w:rPr>
        <w:t xml:space="preserve"> </w:t>
      </w:r>
      <w:r>
        <w:rPr>
          <w:rFonts w:eastAsia="標楷體" w:hint="eastAsia"/>
          <w:bCs/>
          <w:lang w:eastAsia="zh-TW"/>
        </w:rPr>
        <w:t>公衛大樓</w:t>
      </w:r>
      <w:r w:rsidR="00C159B5">
        <w:rPr>
          <w:rFonts w:eastAsia="標楷體"/>
          <w:bCs/>
          <w:lang w:eastAsia="zh-TW"/>
        </w:rPr>
        <w:t>215</w:t>
      </w:r>
      <w:r>
        <w:rPr>
          <w:rFonts w:eastAsia="標楷體" w:hint="eastAsia"/>
          <w:bCs/>
          <w:lang w:eastAsia="zh-TW"/>
        </w:rPr>
        <w:t>教室</w:t>
      </w:r>
    </w:p>
    <w:p w:rsidR="00915EFD" w:rsidRDefault="00915EFD" w:rsidP="00915EFD">
      <w:pPr>
        <w:jc w:val="center"/>
        <w:rPr>
          <w:rFonts w:eastAsia="標楷體"/>
          <w:bCs/>
          <w:lang w:eastAsia="zh-TW"/>
        </w:rPr>
      </w:pPr>
    </w:p>
    <w:p w:rsidR="00915EFD" w:rsidRDefault="00915EFD" w:rsidP="00915EFD">
      <w:pPr>
        <w:jc w:val="center"/>
        <w:rPr>
          <w:rFonts w:eastAsia="標楷體"/>
          <w:bCs/>
          <w:lang w:eastAsia="zh-TW"/>
        </w:rPr>
      </w:pPr>
      <w:r>
        <w:rPr>
          <w:rFonts w:eastAsia="標楷體" w:hint="eastAsia"/>
          <w:bCs/>
          <w:lang w:eastAsia="zh-TW"/>
        </w:rPr>
        <w:t>講者：蕭宏偉</w:t>
      </w:r>
      <w:r>
        <w:rPr>
          <w:rFonts w:eastAsia="標楷體"/>
          <w:bCs/>
          <w:lang w:eastAsia="zh-TW"/>
        </w:rPr>
        <w:t xml:space="preserve"> </w:t>
      </w:r>
      <w:r>
        <w:rPr>
          <w:rFonts w:eastAsia="標楷體" w:hint="eastAsia"/>
          <w:bCs/>
          <w:lang w:eastAsia="zh-TW"/>
        </w:rPr>
        <w:t>博士</w:t>
      </w:r>
    </w:p>
    <w:p w:rsidR="00915EFD" w:rsidRDefault="00915EFD" w:rsidP="0014783D">
      <w:pPr>
        <w:tabs>
          <w:tab w:val="left" w:pos="9000"/>
        </w:tabs>
        <w:ind w:right="-360"/>
        <w:jc w:val="center"/>
        <w:outlineLvl w:val="0"/>
        <w:rPr>
          <w:rFonts w:ascii="Arial" w:eastAsia="New MingLiu" w:hAnsi="Arial" w:cs="Arial"/>
          <w:b/>
          <w:sz w:val="28"/>
          <w:szCs w:val="28"/>
          <w:lang w:eastAsia="zh-TW"/>
        </w:rPr>
      </w:pPr>
    </w:p>
    <w:p w:rsidR="00915EFD" w:rsidRDefault="00915EFD" w:rsidP="009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標楷體"/>
          <w:bCs/>
          <w:sz w:val="28"/>
          <w:lang w:eastAsia="zh-TW"/>
        </w:rPr>
      </w:pPr>
      <w:r>
        <w:rPr>
          <w:rFonts w:eastAsia="標楷體" w:hint="eastAsia"/>
          <w:bCs/>
          <w:sz w:val="28"/>
          <w:lang w:eastAsia="zh-TW"/>
        </w:rPr>
        <w:t>課程概述：</w:t>
      </w:r>
    </w:p>
    <w:p w:rsidR="00915EFD" w:rsidRDefault="00915EFD" w:rsidP="00915EFD">
      <w:pPr>
        <w:tabs>
          <w:tab w:val="left" w:pos="9000"/>
        </w:tabs>
        <w:ind w:right="-360"/>
        <w:outlineLvl w:val="0"/>
        <w:rPr>
          <w:rFonts w:eastAsia="標楷體"/>
          <w:bCs/>
          <w:lang w:eastAsia="zh-TW"/>
        </w:rPr>
      </w:pPr>
      <w:r>
        <w:rPr>
          <w:rFonts w:eastAsia="標楷體" w:hint="eastAsia"/>
          <w:bCs/>
          <w:lang w:eastAsia="zh-TW"/>
        </w:rPr>
        <w:t>本課程旨在讓學生了解職業傷害及健康保護的理論及其在人因工程上的應用，將著重在危害辨識、研究及實務以及工作場所安全的管理。課程主題包含工傷資料系統、人體計測、生物力學、人體機能、傷害鑑識、研究方法以及相關報告撰寫技巧。</w:t>
      </w:r>
    </w:p>
    <w:p w:rsidR="00915EFD" w:rsidRDefault="00915EFD" w:rsidP="00915EFD">
      <w:pPr>
        <w:tabs>
          <w:tab w:val="left" w:pos="9000"/>
        </w:tabs>
        <w:ind w:right="-360"/>
        <w:outlineLvl w:val="0"/>
        <w:rPr>
          <w:rFonts w:eastAsia="標楷體"/>
          <w:bCs/>
          <w:lang w:eastAsia="zh-TW"/>
        </w:rPr>
      </w:pPr>
    </w:p>
    <w:p w:rsidR="00915EFD" w:rsidRDefault="00915EFD" w:rsidP="00915EFD">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eastAsia="標楷體"/>
          <w:bCs/>
          <w:sz w:val="28"/>
        </w:rPr>
      </w:pPr>
      <w:r>
        <w:rPr>
          <w:rFonts w:eastAsia="標楷體" w:hint="eastAsia"/>
          <w:bCs/>
          <w:sz w:val="28"/>
          <w:lang w:eastAsia="zh-TW"/>
        </w:rPr>
        <w:t>課程目標：</w:t>
      </w:r>
    </w:p>
    <w:p w:rsidR="00915EFD" w:rsidRDefault="00915EFD" w:rsidP="00915EFD">
      <w:pPr>
        <w:pStyle w:val="Level1"/>
        <w:widowControl/>
        <w:numPr>
          <w:ilvl w:val="0"/>
          <w:numId w:val="4"/>
        </w:numPr>
        <w:tabs>
          <w:tab w:val="left" w:pos="0"/>
          <w:tab w:val="left" w:pos="720"/>
          <w:tab w:val="left" w:pos="1134"/>
          <w:tab w:val="left" w:pos="2160"/>
          <w:tab w:val="left" w:pos="2880"/>
          <w:tab w:val="left" w:pos="3600"/>
          <w:tab w:val="left" w:pos="4320"/>
          <w:tab w:val="left" w:pos="5040"/>
          <w:tab w:val="left" w:pos="5760"/>
          <w:tab w:val="left" w:pos="6480"/>
          <w:tab w:val="left" w:pos="7200"/>
          <w:tab w:val="left" w:pos="7920"/>
        </w:tabs>
        <w:ind w:left="1134"/>
        <w:rPr>
          <w:rFonts w:eastAsia="標楷體"/>
          <w:bCs/>
          <w:lang w:eastAsia="zh-TW"/>
        </w:rPr>
      </w:pPr>
      <w:r>
        <w:rPr>
          <w:rFonts w:eastAsia="標楷體" w:hint="eastAsia"/>
          <w:bCs/>
          <w:lang w:eastAsia="zh-TW"/>
        </w:rPr>
        <w:t>在傷害以及失效安全之預防工作上，引入結合流行病學、工程學以及人因工程學的整合概念。</w:t>
      </w:r>
    </w:p>
    <w:p w:rsidR="00915EFD" w:rsidRDefault="00915EFD" w:rsidP="00915EFD">
      <w:pPr>
        <w:pStyle w:val="Level1"/>
        <w:widowControl/>
        <w:numPr>
          <w:ilvl w:val="0"/>
          <w:numId w:val="4"/>
        </w:numPr>
        <w:tabs>
          <w:tab w:val="left" w:pos="0"/>
          <w:tab w:val="left" w:pos="720"/>
          <w:tab w:val="left" w:pos="1134"/>
          <w:tab w:val="left" w:pos="2160"/>
          <w:tab w:val="left" w:pos="2880"/>
          <w:tab w:val="left" w:pos="3600"/>
          <w:tab w:val="left" w:pos="4320"/>
          <w:tab w:val="left" w:pos="5040"/>
          <w:tab w:val="left" w:pos="5760"/>
          <w:tab w:val="left" w:pos="6480"/>
          <w:tab w:val="left" w:pos="7200"/>
          <w:tab w:val="left" w:pos="7920"/>
        </w:tabs>
        <w:ind w:left="1134"/>
        <w:rPr>
          <w:rFonts w:eastAsia="標楷體"/>
          <w:bCs/>
          <w:lang w:eastAsia="zh-TW"/>
        </w:rPr>
      </w:pPr>
      <w:r>
        <w:rPr>
          <w:rFonts w:eastAsia="標楷體" w:hint="eastAsia"/>
          <w:bCs/>
          <w:lang w:eastAsia="zh-TW"/>
        </w:rPr>
        <w:t>培養學生在進行職業傷害預防以及健康保護相關研究時，具備必需的學術經驗。</w:t>
      </w:r>
    </w:p>
    <w:p w:rsidR="00915EFD" w:rsidRDefault="00915EFD" w:rsidP="00915EFD">
      <w:pPr>
        <w:pStyle w:val="Level1"/>
        <w:widowControl/>
        <w:numPr>
          <w:ilvl w:val="0"/>
          <w:numId w:val="4"/>
        </w:numPr>
        <w:tabs>
          <w:tab w:val="left" w:pos="0"/>
          <w:tab w:val="left" w:pos="720"/>
          <w:tab w:val="left" w:pos="1134"/>
          <w:tab w:val="left" w:pos="2160"/>
          <w:tab w:val="left" w:pos="2880"/>
          <w:tab w:val="left" w:pos="3600"/>
          <w:tab w:val="left" w:pos="4320"/>
          <w:tab w:val="left" w:pos="5040"/>
          <w:tab w:val="left" w:pos="5760"/>
          <w:tab w:val="left" w:pos="6480"/>
          <w:tab w:val="left" w:pos="7200"/>
          <w:tab w:val="left" w:pos="7920"/>
        </w:tabs>
        <w:ind w:left="1134"/>
        <w:rPr>
          <w:rFonts w:eastAsia="標楷體"/>
          <w:bCs/>
          <w:lang w:eastAsia="zh-TW"/>
        </w:rPr>
      </w:pPr>
      <w:r>
        <w:rPr>
          <w:rFonts w:eastAsia="標楷體" w:hint="eastAsia"/>
          <w:bCs/>
          <w:lang w:eastAsia="zh-TW"/>
        </w:rPr>
        <w:t>培養學生在執行職業傷害預防及健康保護之臨場實務時之基礎必備知識。</w:t>
      </w:r>
    </w:p>
    <w:p w:rsidR="00915EFD" w:rsidRPr="00915EFD" w:rsidRDefault="00915EFD" w:rsidP="00915EFD">
      <w:pPr>
        <w:tabs>
          <w:tab w:val="left" w:pos="9000"/>
        </w:tabs>
        <w:ind w:right="-360"/>
        <w:outlineLvl w:val="0"/>
        <w:rPr>
          <w:rFonts w:ascii="Arial" w:eastAsia="New MingLiu" w:hAnsi="Arial" w:cs="Arial"/>
          <w:b/>
          <w:sz w:val="28"/>
          <w:szCs w:val="28"/>
          <w:lang w:eastAsia="zh-TW"/>
        </w:rPr>
      </w:pPr>
    </w:p>
    <w:p w:rsidR="00915EFD" w:rsidRPr="00915EFD" w:rsidRDefault="00915EFD" w:rsidP="00915EFD">
      <w:pPr>
        <w:tabs>
          <w:tab w:val="left" w:pos="9000"/>
        </w:tabs>
        <w:ind w:right="-360"/>
        <w:outlineLvl w:val="0"/>
        <w:rPr>
          <w:rFonts w:ascii="標楷體" w:eastAsia="標楷體" w:hAnsi="標楷體" w:cs="Arial"/>
          <w:b/>
          <w:sz w:val="28"/>
          <w:szCs w:val="28"/>
          <w:lang w:eastAsia="zh-TW"/>
        </w:rPr>
      </w:pPr>
      <w:r w:rsidRPr="00915EFD">
        <w:rPr>
          <w:rFonts w:ascii="標楷體" w:eastAsia="標楷體" w:hAnsi="標楷體" w:cs="Arial" w:hint="eastAsia"/>
          <w:b/>
          <w:sz w:val="28"/>
          <w:szCs w:val="28"/>
          <w:lang w:eastAsia="zh-TW"/>
        </w:rPr>
        <w:t>講者</w:t>
      </w:r>
      <w:r>
        <w:rPr>
          <w:rFonts w:ascii="標楷體" w:eastAsia="標楷體" w:hAnsi="標楷體" w:cs="Arial" w:hint="eastAsia"/>
          <w:b/>
          <w:sz w:val="28"/>
          <w:szCs w:val="28"/>
          <w:lang w:eastAsia="zh-TW"/>
        </w:rPr>
        <w:t>介紹</w:t>
      </w:r>
    </w:p>
    <w:p w:rsidR="00915EFD" w:rsidRDefault="00915EFD" w:rsidP="00915EFD">
      <w:pPr>
        <w:spacing w:before="240"/>
        <w:rPr>
          <w:rFonts w:eastAsia="標楷體"/>
          <w:lang w:eastAsia="zh-TW"/>
        </w:rPr>
      </w:pPr>
      <w:r>
        <w:rPr>
          <w:rFonts w:eastAsia="標楷體" w:hint="eastAsia"/>
          <w:lang w:eastAsia="zh-TW"/>
        </w:rPr>
        <w:t>蕭宏偉博士任職美國國家職業安全衛生研究所</w:t>
      </w:r>
      <w:r>
        <w:rPr>
          <w:rFonts w:eastAsia="標楷體"/>
          <w:lang w:eastAsia="zh-TW"/>
        </w:rPr>
        <w:t xml:space="preserve"> (NIOSH)</w:t>
      </w:r>
      <w:r>
        <w:rPr>
          <w:rFonts w:eastAsia="標楷體" w:hint="eastAsia"/>
          <w:lang w:eastAsia="zh-TW"/>
        </w:rPr>
        <w:t>，目前擔任</w:t>
      </w:r>
      <w:r>
        <w:rPr>
          <w:rFonts w:eastAsia="標楷體"/>
          <w:lang w:eastAsia="zh-TW"/>
        </w:rPr>
        <w:t>Protective Technology Branch</w:t>
      </w:r>
      <w:r>
        <w:rPr>
          <w:rFonts w:eastAsia="標楷體" w:hint="eastAsia"/>
          <w:lang w:eastAsia="zh-TW"/>
        </w:rPr>
        <w:t>主任。自美國康乃爾大學及密西根大學取得學位後，先後在民間工廠以及美國政府擔任工程及管理相關職務，並在學術單位任教長達</w:t>
      </w:r>
      <w:r>
        <w:rPr>
          <w:rFonts w:eastAsia="標楷體"/>
          <w:lang w:eastAsia="zh-TW"/>
        </w:rPr>
        <w:t>18</w:t>
      </w:r>
      <w:r>
        <w:rPr>
          <w:rFonts w:eastAsia="標楷體" w:hint="eastAsia"/>
          <w:lang w:eastAsia="zh-TW"/>
        </w:rPr>
        <w:t>年。</w:t>
      </w:r>
    </w:p>
    <w:p w:rsidR="00915EFD" w:rsidRDefault="00915EFD" w:rsidP="00915EFD">
      <w:pPr>
        <w:spacing w:before="240"/>
        <w:rPr>
          <w:rFonts w:eastAsia="標楷體"/>
          <w:lang w:eastAsia="zh-TW"/>
        </w:rPr>
      </w:pPr>
      <w:r>
        <w:rPr>
          <w:rFonts w:eastAsia="標楷體" w:hint="eastAsia"/>
          <w:lang w:eastAsia="zh-TW"/>
        </w:rPr>
        <w:t>蕭博士曾參與許多為職業安全領域帶來重大變革的大型計畫，包括墜落預防、設施安全、傷患安全、特殊族群之防護設備以及工作安全之數位模擬。身為一個國際知名的學者，他也是跨機構策略聯盟以及國際安全標準機構的成員，並且在許多國際研討會擔任過主持人。</w:t>
      </w:r>
    </w:p>
    <w:p w:rsidR="00915EFD" w:rsidRDefault="00915EFD" w:rsidP="00915EFD">
      <w:pPr>
        <w:tabs>
          <w:tab w:val="left" w:pos="9000"/>
        </w:tabs>
        <w:ind w:right="-360"/>
        <w:outlineLvl w:val="0"/>
        <w:rPr>
          <w:rFonts w:ascii="Arial" w:eastAsia="New MingLiu" w:hAnsi="Arial" w:cs="Arial"/>
          <w:b/>
          <w:sz w:val="28"/>
          <w:szCs w:val="28"/>
          <w:lang w:eastAsia="zh-TW"/>
        </w:rPr>
      </w:pPr>
    </w:p>
    <w:p w:rsidR="00915EFD" w:rsidRDefault="00915EFD" w:rsidP="00915EFD">
      <w:pPr>
        <w:tabs>
          <w:tab w:val="left" w:pos="9000"/>
        </w:tabs>
        <w:ind w:right="-360"/>
        <w:outlineLvl w:val="0"/>
        <w:rPr>
          <w:rFonts w:eastAsia="標楷體"/>
          <w:lang w:eastAsia="zh-TW"/>
        </w:rPr>
      </w:pPr>
      <w:r>
        <w:rPr>
          <w:rFonts w:eastAsia="標楷體" w:hint="eastAsia"/>
          <w:lang w:eastAsia="zh-TW"/>
        </w:rPr>
        <w:t>蕭宏偉博士目前負責管理美國</w:t>
      </w:r>
      <w:r>
        <w:rPr>
          <w:rFonts w:eastAsia="標楷體"/>
          <w:lang w:eastAsia="zh-TW"/>
        </w:rPr>
        <w:t>NIOSH</w:t>
      </w:r>
      <w:r>
        <w:rPr>
          <w:rFonts w:eastAsia="標楷體" w:hint="eastAsia"/>
          <w:lang w:eastAsia="zh-TW"/>
        </w:rPr>
        <w:t>下的虛擬實境、人因工程、人體計測等九個實驗室，也擔任一間新成立的機器人安全實驗室的共同主持人。他是十個學術期刊的編輯群成員，擁有超過</w:t>
      </w:r>
      <w:r>
        <w:rPr>
          <w:rFonts w:eastAsia="標楷體"/>
          <w:lang w:eastAsia="zh-TW"/>
        </w:rPr>
        <w:t>160</w:t>
      </w:r>
      <w:r>
        <w:rPr>
          <w:rFonts w:eastAsia="標楷體" w:hint="eastAsia"/>
          <w:lang w:eastAsia="zh-TW"/>
        </w:rPr>
        <w:t>篇關於傷害控制工程的著作和專利。因為具備超過</w:t>
      </w:r>
      <w:r>
        <w:rPr>
          <w:rFonts w:eastAsia="標楷體"/>
          <w:lang w:eastAsia="zh-TW"/>
        </w:rPr>
        <w:t>25</w:t>
      </w:r>
      <w:r>
        <w:rPr>
          <w:rFonts w:eastAsia="標楷體" w:hint="eastAsia"/>
          <w:lang w:eastAsia="zh-TW"/>
        </w:rPr>
        <w:t>年的計畫管理及安全研究經驗，蕭博士常受邀到各國演講分享工安策略擬定及研究成果，至今已獲頒</w:t>
      </w:r>
      <w:r>
        <w:rPr>
          <w:rFonts w:eastAsia="標楷體"/>
          <w:lang w:eastAsia="zh-TW"/>
        </w:rPr>
        <w:t>20</w:t>
      </w:r>
      <w:r>
        <w:rPr>
          <w:rFonts w:eastAsia="標楷體" w:hint="eastAsia"/>
          <w:lang w:eastAsia="zh-TW"/>
        </w:rPr>
        <w:t>個包括服務、科學及創新性質，極富盛名的獎項，近期獲獎如</w:t>
      </w:r>
      <w:r>
        <w:rPr>
          <w:rFonts w:eastAsia="標楷體"/>
          <w:lang w:eastAsia="zh-TW"/>
        </w:rPr>
        <w:t>Public Health Service Engineer of the Year from the U.S. Government (2011)</w:t>
      </w:r>
      <w:r>
        <w:rPr>
          <w:rFonts w:eastAsia="標楷體" w:hint="eastAsia"/>
          <w:lang w:eastAsia="zh-TW"/>
        </w:rPr>
        <w:t>、</w:t>
      </w:r>
      <w:r>
        <w:rPr>
          <w:rFonts w:eastAsia="標楷體"/>
          <w:lang w:eastAsia="zh-TW"/>
        </w:rPr>
        <w:t>Human Factors Prize from the Human Factors and Ergonomics Society (2012)</w:t>
      </w:r>
      <w:r>
        <w:rPr>
          <w:rFonts w:eastAsia="標楷體" w:hint="eastAsia"/>
          <w:lang w:eastAsia="zh-TW"/>
        </w:rPr>
        <w:t>、</w:t>
      </w:r>
      <w:r>
        <w:rPr>
          <w:rFonts w:eastAsia="標楷體"/>
          <w:lang w:eastAsia="zh-TW"/>
        </w:rPr>
        <w:t>Alice Hamilton Award (2013)</w:t>
      </w:r>
      <w:r>
        <w:rPr>
          <w:rFonts w:eastAsia="標楷體" w:hint="eastAsia"/>
          <w:lang w:eastAsia="zh-TW"/>
        </w:rPr>
        <w:t>、</w:t>
      </w:r>
      <w:r>
        <w:rPr>
          <w:rFonts w:eastAsia="標楷體"/>
          <w:lang w:eastAsia="zh-TW"/>
        </w:rPr>
        <w:t>Bullard-Sherwood Transfer of Knowledge Award (2014)</w:t>
      </w:r>
      <w:r>
        <w:rPr>
          <w:rFonts w:eastAsia="標楷體" w:hint="eastAsia"/>
          <w:lang w:eastAsia="zh-TW"/>
        </w:rPr>
        <w:t>、</w:t>
      </w:r>
      <w:r>
        <w:rPr>
          <w:rFonts w:eastAsia="標楷體"/>
          <w:lang w:eastAsia="zh-TW"/>
        </w:rPr>
        <w:t>Federal Health Information Technology Innovation Award from the Digital Health Xchange (2015)</w:t>
      </w:r>
      <w:r>
        <w:rPr>
          <w:rFonts w:eastAsia="標楷體" w:hint="eastAsia"/>
          <w:lang w:eastAsia="zh-TW"/>
        </w:rPr>
        <w:t>和</w:t>
      </w:r>
      <w:r>
        <w:rPr>
          <w:rFonts w:eastAsia="標楷體"/>
          <w:lang w:eastAsia="zh-TW"/>
        </w:rPr>
        <w:t xml:space="preserve">Samuel Heyman Service to America Medals Career Achievement Finalist (2016) </w:t>
      </w:r>
      <w:r>
        <w:rPr>
          <w:rFonts w:eastAsia="標楷體" w:hint="eastAsia"/>
          <w:lang w:eastAsia="zh-TW"/>
        </w:rPr>
        <w:t>。</w:t>
      </w:r>
    </w:p>
    <w:p w:rsidR="00915EFD" w:rsidRDefault="00915EFD" w:rsidP="00915EFD">
      <w:pPr>
        <w:tabs>
          <w:tab w:val="left" w:pos="9000"/>
        </w:tabs>
        <w:ind w:right="-360"/>
        <w:outlineLvl w:val="0"/>
        <w:rPr>
          <w:rFonts w:eastAsia="標楷體"/>
          <w:lang w:eastAsia="zh-TW"/>
        </w:rPr>
      </w:pPr>
    </w:p>
    <w:p w:rsidR="00915EFD" w:rsidRPr="00915EFD" w:rsidRDefault="00915EFD" w:rsidP="00915EFD">
      <w:pPr>
        <w:tabs>
          <w:tab w:val="left" w:pos="9000"/>
        </w:tabs>
        <w:ind w:right="-360"/>
        <w:outlineLvl w:val="0"/>
        <w:rPr>
          <w:rFonts w:ascii="Arial" w:eastAsia="New MingLiu" w:hAnsi="Arial" w:cs="Arial"/>
          <w:b/>
          <w:sz w:val="28"/>
          <w:szCs w:val="28"/>
          <w:lang w:eastAsia="zh-TW"/>
        </w:rPr>
      </w:pPr>
      <w:r>
        <w:rPr>
          <w:rFonts w:eastAsia="標楷體" w:hint="eastAsia"/>
          <w:bCs/>
          <w:iCs/>
          <w:lang w:eastAsia="zh-TW"/>
        </w:rPr>
        <w:t>蕭宏偉博士在</w:t>
      </w:r>
      <w:r>
        <w:rPr>
          <w:rFonts w:eastAsia="標楷體"/>
          <w:bCs/>
          <w:iCs/>
          <w:lang w:eastAsia="zh-TW"/>
        </w:rPr>
        <w:t>2003</w:t>
      </w:r>
      <w:r>
        <w:rPr>
          <w:rFonts w:eastAsia="標楷體" w:hint="eastAsia"/>
          <w:bCs/>
          <w:iCs/>
          <w:lang w:eastAsia="zh-TW"/>
        </w:rPr>
        <w:t>年及</w:t>
      </w:r>
      <w:r>
        <w:rPr>
          <w:rFonts w:eastAsia="標楷體"/>
          <w:bCs/>
          <w:iCs/>
          <w:lang w:eastAsia="zh-TW"/>
        </w:rPr>
        <w:t>2005</w:t>
      </w:r>
      <w:r>
        <w:rPr>
          <w:rFonts w:eastAsia="標楷體" w:hint="eastAsia"/>
          <w:bCs/>
          <w:iCs/>
          <w:lang w:eastAsia="zh-TW"/>
        </w:rPr>
        <w:t>年分別獲選為英國</w:t>
      </w:r>
      <w:r>
        <w:rPr>
          <w:rFonts w:eastAsia="標楷體"/>
        </w:rPr>
        <w:t>Institute of Ergonomics and Human Factors</w:t>
      </w:r>
      <w:r>
        <w:rPr>
          <w:rFonts w:eastAsia="標楷體" w:hint="eastAsia"/>
          <w:lang w:eastAsia="zh-TW"/>
        </w:rPr>
        <w:t>的研究員及美國</w:t>
      </w:r>
      <w:r>
        <w:rPr>
          <w:rFonts w:eastAsia="標楷體"/>
          <w:lang w:eastAsia="zh-TW"/>
        </w:rPr>
        <w:t>Human Factors and Ergonomics Society</w:t>
      </w:r>
      <w:r>
        <w:rPr>
          <w:rFonts w:eastAsia="標楷體" w:hint="eastAsia"/>
          <w:lang w:eastAsia="zh-TW"/>
        </w:rPr>
        <w:t>的榮譽研究員，並在</w:t>
      </w:r>
      <w:r>
        <w:rPr>
          <w:rFonts w:eastAsia="標楷體"/>
          <w:lang w:eastAsia="zh-TW"/>
        </w:rPr>
        <w:t>2003</w:t>
      </w:r>
      <w:r>
        <w:rPr>
          <w:rFonts w:eastAsia="標楷體" w:hint="eastAsia"/>
          <w:lang w:eastAsia="zh-TW"/>
        </w:rPr>
        <w:t>年被美國疾管署</w:t>
      </w:r>
      <w:r>
        <w:rPr>
          <w:rFonts w:eastAsia="標楷體"/>
          <w:lang w:eastAsia="zh-TW"/>
        </w:rPr>
        <w:t>(CDC)</w:t>
      </w:r>
      <w:r>
        <w:rPr>
          <w:rFonts w:eastAsia="標楷體" w:hint="eastAsia"/>
          <w:lang w:eastAsia="zh-TW"/>
        </w:rPr>
        <w:t>授予</w:t>
      </w:r>
      <w:r>
        <w:rPr>
          <w:rFonts w:eastAsia="標楷體"/>
        </w:rPr>
        <w:t>Silvio O. Conte Senior Biomedical Research Service Fellow</w:t>
      </w:r>
      <w:r>
        <w:rPr>
          <w:rFonts w:eastAsia="標楷體" w:hint="eastAsia"/>
          <w:lang w:eastAsia="zh-TW"/>
        </w:rPr>
        <w:t>和</w:t>
      </w:r>
      <w:r>
        <w:rPr>
          <w:rFonts w:eastAsia="標楷體"/>
        </w:rPr>
        <w:t>CDC Distinguished Consultant</w:t>
      </w:r>
      <w:r>
        <w:rPr>
          <w:rFonts w:eastAsia="標楷體" w:hint="eastAsia"/>
          <w:lang w:eastAsia="zh-TW"/>
        </w:rPr>
        <w:t>。</w:t>
      </w:r>
    </w:p>
    <w:p w:rsidR="00915EFD" w:rsidRDefault="00915EFD">
      <w:pPr>
        <w:spacing w:after="200" w:line="276" w:lineRule="auto"/>
        <w:rPr>
          <w:rFonts w:eastAsia="New MingLiu"/>
          <w:b/>
          <w:sz w:val="32"/>
          <w:szCs w:val="28"/>
        </w:rPr>
      </w:pPr>
      <w:r>
        <w:rPr>
          <w:rFonts w:eastAsia="New MingLiu"/>
          <w:b/>
          <w:sz w:val="32"/>
          <w:szCs w:val="28"/>
        </w:rPr>
        <w:br w:type="page"/>
      </w:r>
    </w:p>
    <w:p w:rsidR="00C159B5" w:rsidRPr="00C9132A" w:rsidRDefault="00C159B5" w:rsidP="00C159B5">
      <w:pPr>
        <w:tabs>
          <w:tab w:val="left" w:pos="9000"/>
        </w:tabs>
        <w:ind w:right="-360"/>
        <w:jc w:val="center"/>
        <w:outlineLvl w:val="0"/>
        <w:rPr>
          <w:b/>
        </w:rPr>
      </w:pPr>
      <w:r>
        <w:rPr>
          <w:rFonts w:eastAsia="New MingLiu"/>
          <w:b/>
          <w:sz w:val="28"/>
          <w:szCs w:val="28"/>
        </w:rPr>
        <w:lastRenderedPageBreak/>
        <w:t>H</w:t>
      </w:r>
      <w:r w:rsidRPr="00DA290D">
        <w:rPr>
          <w:rFonts w:eastAsia="New MingLiu"/>
          <w:b/>
          <w:sz w:val="28"/>
          <w:szCs w:val="28"/>
        </w:rPr>
        <w:t xml:space="preserve">uman </w:t>
      </w:r>
      <w:r>
        <w:rPr>
          <w:rFonts w:eastAsia="New MingLiu"/>
          <w:b/>
          <w:sz w:val="28"/>
          <w:szCs w:val="28"/>
        </w:rPr>
        <w:t>F</w:t>
      </w:r>
      <w:r w:rsidRPr="00DA290D">
        <w:rPr>
          <w:rFonts w:eastAsia="New MingLiu"/>
          <w:b/>
          <w:sz w:val="28"/>
          <w:szCs w:val="28"/>
        </w:rPr>
        <w:t xml:space="preserve">actors and </w:t>
      </w:r>
      <w:r>
        <w:rPr>
          <w:rFonts w:eastAsia="New MingLiu"/>
          <w:b/>
          <w:sz w:val="28"/>
          <w:szCs w:val="28"/>
        </w:rPr>
        <w:t>E</w:t>
      </w:r>
      <w:r w:rsidRPr="00DA290D">
        <w:rPr>
          <w:rFonts w:eastAsia="New MingLiu"/>
          <w:b/>
          <w:sz w:val="28"/>
          <w:szCs w:val="28"/>
        </w:rPr>
        <w:t>rgonomics for Occupational Safety and Health</w:t>
      </w:r>
    </w:p>
    <w:p w:rsidR="00C159B5" w:rsidRPr="00C9132A" w:rsidRDefault="00C159B5" w:rsidP="00C159B5">
      <w:pPr>
        <w:tabs>
          <w:tab w:val="left" w:pos="9000"/>
        </w:tabs>
        <w:ind w:right="-360"/>
        <w:jc w:val="center"/>
        <w:outlineLvl w:val="0"/>
        <w:rPr>
          <w:b/>
        </w:rPr>
      </w:pPr>
      <w:r w:rsidRPr="00C9132A">
        <w:rPr>
          <w:b/>
        </w:rPr>
        <w:t>August 1</w:t>
      </w:r>
      <w:r>
        <w:rPr>
          <w:b/>
        </w:rPr>
        <w:t>2</w:t>
      </w:r>
      <w:r w:rsidRPr="00C9132A">
        <w:rPr>
          <w:b/>
        </w:rPr>
        <w:t xml:space="preserve"> – 1</w:t>
      </w:r>
      <w:r>
        <w:rPr>
          <w:b/>
        </w:rPr>
        <w:t>6</w:t>
      </w:r>
      <w:r w:rsidRPr="00C9132A">
        <w:rPr>
          <w:b/>
        </w:rPr>
        <w:t>, 201</w:t>
      </w:r>
      <w:r>
        <w:rPr>
          <w:b/>
        </w:rPr>
        <w:t>9</w:t>
      </w:r>
    </w:p>
    <w:p w:rsidR="00C159B5" w:rsidRPr="00C9132A" w:rsidRDefault="00C159B5" w:rsidP="00C159B5">
      <w:pPr>
        <w:jc w:val="both"/>
        <w:rPr>
          <w:bCs/>
        </w:rPr>
      </w:pPr>
    </w:p>
    <w:p w:rsidR="00C159B5" w:rsidRPr="00C9132A" w:rsidRDefault="00C159B5" w:rsidP="00C159B5">
      <w:pPr>
        <w:jc w:val="center"/>
        <w:rPr>
          <w:bCs/>
        </w:rPr>
      </w:pPr>
      <w:r w:rsidRPr="00C9132A">
        <w:rPr>
          <w:bCs/>
        </w:rPr>
        <w:t>Hongwei Hsiao, Ph.D</w:t>
      </w:r>
      <w:r>
        <w:rPr>
          <w:bCs/>
        </w:rPr>
        <w:t>.</w:t>
      </w:r>
    </w:p>
    <w:p w:rsidR="00C159B5" w:rsidRPr="002F64D4" w:rsidRDefault="00C159B5" w:rsidP="00C159B5">
      <w:pPr>
        <w:widowControl w:val="0"/>
        <w:autoSpaceDE w:val="0"/>
        <w:autoSpaceDN w:val="0"/>
        <w:adjustRightInd w:val="0"/>
        <w:jc w:val="center"/>
      </w:pPr>
      <w:r w:rsidRPr="002F64D4">
        <w:t xml:space="preserve">Chief for Protective Technology Branch and Coordinator of Center for Robotics Research </w:t>
      </w:r>
    </w:p>
    <w:p w:rsidR="00C159B5" w:rsidRPr="002F64D4" w:rsidRDefault="00C159B5" w:rsidP="00C159B5">
      <w:pPr>
        <w:widowControl w:val="0"/>
        <w:autoSpaceDE w:val="0"/>
        <w:autoSpaceDN w:val="0"/>
        <w:adjustRightInd w:val="0"/>
        <w:jc w:val="center"/>
      </w:pPr>
      <w:r w:rsidRPr="002F64D4">
        <w:t>The U.S.</w:t>
      </w:r>
      <w:r w:rsidRPr="002F64D4">
        <w:rPr>
          <w:b/>
        </w:rPr>
        <w:t xml:space="preserve"> </w:t>
      </w:r>
      <w:r w:rsidRPr="002F64D4">
        <w:t>National Institute for Occupational Safety and Health (NIOSH)</w:t>
      </w:r>
    </w:p>
    <w:p w:rsidR="00C159B5" w:rsidRPr="00C9132A" w:rsidRDefault="00C159B5" w:rsidP="00C159B5">
      <w:pPr>
        <w:rPr>
          <w:bCs/>
        </w:rPr>
      </w:pPr>
    </w:p>
    <w:p w:rsidR="00C159B5" w:rsidRPr="00C9132A" w:rsidRDefault="00C159B5" w:rsidP="00C159B5">
      <w:pPr>
        <w:rPr>
          <w:bCs/>
          <w:i/>
          <w:iCs/>
        </w:rPr>
      </w:pPr>
    </w:p>
    <w:p w:rsidR="00C159B5" w:rsidRPr="00C9132A" w:rsidRDefault="00C159B5" w:rsidP="00C159B5">
      <w:pPr>
        <w:rPr>
          <w:bCs/>
        </w:rPr>
      </w:pPr>
      <w:r w:rsidRPr="00C9132A">
        <w:rPr>
          <w:bCs/>
          <w:i/>
          <w:iCs/>
        </w:rPr>
        <w:t>Workshop Description:</w:t>
      </w:r>
    </w:p>
    <w:p w:rsidR="00C159B5" w:rsidRPr="00C9132A" w:rsidRDefault="00C159B5" w:rsidP="00C159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rPr>
      </w:pPr>
      <w:r w:rsidRPr="00C9132A">
        <w:rPr>
          <w:bCs/>
        </w:rPr>
        <w:t xml:space="preserve">This workshop develops the student’s understanding and competence in theories and applications of </w:t>
      </w:r>
      <w:r>
        <w:rPr>
          <w:bCs/>
        </w:rPr>
        <w:t xml:space="preserve">human factors and </w:t>
      </w:r>
      <w:r w:rsidRPr="00C9132A">
        <w:rPr>
          <w:bCs/>
        </w:rPr>
        <w:t xml:space="preserve">ergonomics for occupational injury control and health protection. Emphasis is placed on hazard identification, research and practice, and management of workplace safety. Topics include </w:t>
      </w:r>
      <w:r w:rsidRPr="002F64D4">
        <w:rPr>
          <w:bCs/>
        </w:rPr>
        <w:t>anthropometry and biomechanics, human cognition and signal detection, human-system interface and risk assessment, injury investigation methods, and writing human factors research proposals</w:t>
      </w:r>
      <w:r>
        <w:rPr>
          <w:bCs/>
        </w:rPr>
        <w:t xml:space="preserve"> and reports</w:t>
      </w:r>
      <w:r w:rsidRPr="00C9132A">
        <w:rPr>
          <w:bCs/>
        </w:rPr>
        <w:t>.</w:t>
      </w:r>
    </w:p>
    <w:p w:rsidR="00C159B5" w:rsidRPr="00C9132A" w:rsidRDefault="00C159B5" w:rsidP="00C159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rsidR="00C159B5" w:rsidRPr="00C9132A" w:rsidRDefault="00C159B5" w:rsidP="00C159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C9132A">
        <w:rPr>
          <w:bCs/>
          <w:i/>
          <w:iCs/>
        </w:rPr>
        <w:t>Workshop Objectives:</w:t>
      </w:r>
      <w:r w:rsidRPr="00C9132A">
        <w:rPr>
          <w:bCs/>
        </w:rPr>
        <w:t xml:space="preserve"> </w:t>
      </w:r>
    </w:p>
    <w:p w:rsidR="00C159B5" w:rsidRPr="00C9132A" w:rsidRDefault="00C159B5" w:rsidP="00C159B5">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C9132A">
        <w:rPr>
          <w:bCs/>
        </w:rPr>
        <w:t>Introduce students to the concept of integration of the principles of epidemiology, engineering, and ergonomics to the prevention of injury and safety failures.</w:t>
      </w:r>
    </w:p>
    <w:p w:rsidR="00C159B5" w:rsidRPr="00C9132A" w:rsidRDefault="00C159B5" w:rsidP="00C159B5">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C9132A">
        <w:rPr>
          <w:bCs/>
        </w:rPr>
        <w:t>Develop students the academic experience necessary for them to conduct research in occupation injury prevention</w:t>
      </w:r>
      <w:r>
        <w:rPr>
          <w:bCs/>
        </w:rPr>
        <w:t>,</w:t>
      </w:r>
      <w:r w:rsidRPr="00C9132A">
        <w:rPr>
          <w:bCs/>
        </w:rPr>
        <w:t xml:space="preserve"> health protection</w:t>
      </w:r>
      <w:r>
        <w:rPr>
          <w:bCs/>
        </w:rPr>
        <w:t>, and emerging occupational issues</w:t>
      </w:r>
      <w:r w:rsidRPr="00C9132A">
        <w:rPr>
          <w:bCs/>
        </w:rPr>
        <w:t xml:space="preserve">. </w:t>
      </w:r>
    </w:p>
    <w:p w:rsidR="00C159B5" w:rsidRPr="00C9132A" w:rsidRDefault="00C159B5" w:rsidP="00C159B5">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C9132A">
        <w:rPr>
          <w:bCs/>
        </w:rPr>
        <w:t xml:space="preserve">Develop students the basic skills necessary to prepare for industrial practices in occupation injury prevention and health protection areas. </w:t>
      </w:r>
    </w:p>
    <w:p w:rsidR="00C159B5" w:rsidRPr="00C9132A" w:rsidRDefault="00C159B5" w:rsidP="00C159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rsidR="00C159B5" w:rsidRPr="00C9132A" w:rsidRDefault="00C159B5" w:rsidP="00C159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C9132A">
        <w:rPr>
          <w:bCs/>
          <w:i/>
          <w:iCs/>
        </w:rPr>
        <w:t>Student Outcomes:</w:t>
      </w:r>
    </w:p>
    <w:p w:rsidR="00C159B5" w:rsidRPr="00C9132A" w:rsidRDefault="00C159B5" w:rsidP="00C159B5">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C9132A">
        <w:rPr>
          <w:bCs/>
        </w:rPr>
        <w:t xml:space="preserve">Has excellent knowledge of </w:t>
      </w:r>
      <w:r>
        <w:rPr>
          <w:bCs/>
        </w:rPr>
        <w:t xml:space="preserve">human factors and </w:t>
      </w:r>
      <w:r w:rsidRPr="00C9132A">
        <w:rPr>
          <w:bCs/>
        </w:rPr>
        <w:t>ergonomics for safety, practical injury control techniques, and strategic plans for injury prevention and health protection.</w:t>
      </w:r>
    </w:p>
    <w:p w:rsidR="00C159B5" w:rsidRPr="00C9132A" w:rsidRDefault="00C159B5" w:rsidP="00C159B5">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C9132A">
        <w:rPr>
          <w:bCs/>
        </w:rPr>
        <w:t>Has the ability to identify and organize literature for workplace injury prevention and health protection research and practices.</w:t>
      </w:r>
    </w:p>
    <w:p w:rsidR="00C159B5" w:rsidRPr="00C9132A" w:rsidRDefault="00C159B5" w:rsidP="00C159B5">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C9132A">
        <w:rPr>
          <w:bCs/>
        </w:rPr>
        <w:t>Has the skill to develop sound injury prevention and health protection research concepts.</w:t>
      </w:r>
    </w:p>
    <w:p w:rsidR="00C159B5" w:rsidRPr="00C9132A" w:rsidRDefault="00C159B5" w:rsidP="00C159B5">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C9132A">
        <w:rPr>
          <w:bCs/>
        </w:rPr>
        <w:t>Has the ability to establish basic safety guidelines for industrial practices.</w:t>
      </w:r>
    </w:p>
    <w:p w:rsidR="00C159B5" w:rsidRPr="00C9132A" w:rsidRDefault="00C159B5" w:rsidP="00C159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rsidR="00C159B5" w:rsidRPr="00C9132A" w:rsidRDefault="00C159B5" w:rsidP="00C159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C9132A">
        <w:rPr>
          <w:bCs/>
          <w:i/>
          <w:iCs/>
        </w:rPr>
        <w:t>Method of Instruction</w:t>
      </w:r>
    </w:p>
    <w:p w:rsidR="0014783D" w:rsidRPr="00C9132A" w:rsidRDefault="00C159B5" w:rsidP="00C159B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rPr>
      </w:pPr>
      <w:r w:rsidRPr="00C9132A">
        <w:rPr>
          <w:bCs/>
        </w:rPr>
        <w:t xml:space="preserve">This course is taught primarily through lectures and group exercise.  The course materials or handouts will be available at the lecture or a week before the lecture.  Although no prerequisite is </w:t>
      </w:r>
      <w:r>
        <w:rPr>
          <w:bCs/>
        </w:rPr>
        <w:t>set</w:t>
      </w:r>
      <w:r w:rsidRPr="00C9132A">
        <w:rPr>
          <w:bCs/>
        </w:rPr>
        <w:t>, a basic knowledge of statistics is helpful.</w:t>
      </w:r>
    </w:p>
    <w:p w:rsidR="00E42BD8" w:rsidRPr="00C9132A" w:rsidRDefault="00E42BD8">
      <w:pPr>
        <w:spacing w:after="200" w:line="276" w:lineRule="auto"/>
        <w:rPr>
          <w:bCs/>
          <w:i/>
          <w:iCs/>
          <w:sz w:val="18"/>
          <w:szCs w:val="18"/>
        </w:rPr>
      </w:pPr>
      <w:r w:rsidRPr="00C9132A">
        <w:rPr>
          <w:bCs/>
          <w:i/>
          <w:iCs/>
        </w:rPr>
        <w:br w:type="page"/>
      </w:r>
    </w:p>
    <w:p w:rsidR="00E42BD8" w:rsidRPr="009F3680" w:rsidRDefault="00E42BD8" w:rsidP="00E4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8"/>
        </w:rPr>
      </w:pPr>
      <w:r w:rsidRPr="009F3680">
        <w:rPr>
          <w:bCs/>
          <w:iCs/>
          <w:sz w:val="28"/>
        </w:rPr>
        <w:t>Topical Schedule of Lectures</w:t>
      </w:r>
    </w:p>
    <w:p w:rsidR="00034E37" w:rsidRDefault="00034E37"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i/>
          <w:iCs/>
        </w:rPr>
      </w:pPr>
    </w:p>
    <w:tbl>
      <w:tblPr>
        <w:tblStyle w:val="ab"/>
        <w:tblW w:w="10456" w:type="dxa"/>
        <w:tblLook w:val="04A0" w:firstRow="1" w:lastRow="0" w:firstColumn="1" w:lastColumn="0" w:noHBand="0" w:noVBand="1"/>
      </w:tblPr>
      <w:tblGrid>
        <w:gridCol w:w="959"/>
        <w:gridCol w:w="1843"/>
        <w:gridCol w:w="7654"/>
      </w:tblGrid>
      <w:tr w:rsidR="009F3680" w:rsidTr="009F3680">
        <w:tc>
          <w:tcPr>
            <w:tcW w:w="959" w:type="dxa"/>
          </w:tcPr>
          <w:p w:rsidR="009F3680" w:rsidRPr="009F3680" w:rsidRDefault="009F3680" w:rsidP="00E42B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rsidRPr="009F3680">
              <w:t>Date</w:t>
            </w:r>
          </w:p>
        </w:tc>
        <w:tc>
          <w:tcPr>
            <w:tcW w:w="1843" w:type="dxa"/>
          </w:tcPr>
          <w:p w:rsidR="009F3680" w:rsidRPr="009F3680" w:rsidRDefault="009F3680" w:rsidP="00E42B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rsidRPr="009F3680">
              <w:t>Time</w:t>
            </w:r>
          </w:p>
        </w:tc>
        <w:tc>
          <w:tcPr>
            <w:tcW w:w="7654" w:type="dxa"/>
          </w:tcPr>
          <w:p w:rsidR="009F3680" w:rsidRPr="009F3680" w:rsidRDefault="009F3680" w:rsidP="00E42B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rsidRPr="009F3680">
              <w:t>Topic</w:t>
            </w:r>
          </w:p>
        </w:tc>
      </w:tr>
      <w:tr w:rsidR="009F3680" w:rsidTr="009F3680">
        <w:tc>
          <w:tcPr>
            <w:tcW w:w="959" w:type="dxa"/>
            <w:vMerge w:val="restart"/>
            <w:shd w:val="clear" w:color="auto" w:fill="F2F2F2" w:themeFill="background1" w:themeFillShade="F2"/>
          </w:tcPr>
          <w:p w:rsidR="009F36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t>8</w:t>
            </w:r>
            <w:r w:rsidRPr="00E42BD8">
              <w:t>/1</w:t>
            </w:r>
            <w:r w:rsidR="00C159B5">
              <w:t>2</w:t>
            </w:r>
          </w:p>
        </w:tc>
        <w:tc>
          <w:tcPr>
            <w:tcW w:w="1843" w:type="dxa"/>
            <w:shd w:val="clear" w:color="auto" w:fill="F2F2F2" w:themeFill="background1" w:themeFillShade="F2"/>
          </w:tcPr>
          <w:p w:rsidR="009F36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E42BD8">
              <w:t>9:00 - 1</w:t>
            </w:r>
            <w:r>
              <w:t>0</w:t>
            </w:r>
            <w:r w:rsidRPr="00E42BD8">
              <w:t>:00</w:t>
            </w:r>
          </w:p>
        </w:tc>
        <w:tc>
          <w:tcPr>
            <w:tcW w:w="7654" w:type="dxa"/>
            <w:shd w:val="clear" w:color="auto" w:fill="F2F2F2" w:themeFill="background1" w:themeFillShade="F2"/>
          </w:tcPr>
          <w:p w:rsidR="009F3680" w:rsidRDefault="00C159B5"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t xml:space="preserve">Human Factors ABC </w:t>
            </w:r>
            <w:r w:rsidRPr="00E42BD8">
              <w:t>and injury prevention models</w:t>
            </w:r>
          </w:p>
        </w:tc>
      </w:tr>
      <w:tr w:rsidR="009F3680" w:rsidTr="009F3680">
        <w:tc>
          <w:tcPr>
            <w:tcW w:w="959" w:type="dxa"/>
            <w:vMerge/>
            <w:shd w:val="clear" w:color="auto" w:fill="F2F2F2" w:themeFill="background1" w:themeFillShade="F2"/>
          </w:tcPr>
          <w:p w:rsidR="009F36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p>
        </w:tc>
        <w:tc>
          <w:tcPr>
            <w:tcW w:w="1843" w:type="dxa"/>
            <w:shd w:val="clear" w:color="auto" w:fill="F2F2F2" w:themeFill="background1" w:themeFillShade="F2"/>
          </w:tcPr>
          <w:p w:rsidR="009F36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DA686A">
              <w:t>1</w:t>
            </w:r>
            <w:r>
              <w:t>0</w:t>
            </w:r>
            <w:r w:rsidRPr="00DA686A">
              <w:t>:00 – 1</w:t>
            </w:r>
            <w:r>
              <w:t>2</w:t>
            </w:r>
            <w:r w:rsidRPr="00DA686A">
              <w:t>:00</w:t>
            </w:r>
          </w:p>
        </w:tc>
        <w:tc>
          <w:tcPr>
            <w:tcW w:w="7654" w:type="dxa"/>
            <w:shd w:val="clear" w:color="auto" w:fill="F2F2F2" w:themeFill="background1" w:themeFillShade="F2"/>
          </w:tcPr>
          <w:p w:rsidR="009F3680" w:rsidRDefault="00C159B5"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 xml:space="preserve">Anthropometry </w:t>
            </w:r>
            <w:r>
              <w:t>theories</w:t>
            </w:r>
          </w:p>
        </w:tc>
      </w:tr>
      <w:tr w:rsidR="009F3680" w:rsidTr="009F3680">
        <w:tc>
          <w:tcPr>
            <w:tcW w:w="959" w:type="dxa"/>
            <w:vMerge/>
            <w:shd w:val="clear" w:color="auto" w:fill="F2F2F2" w:themeFill="background1" w:themeFillShade="F2"/>
          </w:tcPr>
          <w:p w:rsidR="009F36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p>
        </w:tc>
        <w:tc>
          <w:tcPr>
            <w:tcW w:w="1843" w:type="dxa"/>
            <w:shd w:val="clear" w:color="auto" w:fill="F2F2F2" w:themeFill="background1" w:themeFillShade="F2"/>
          </w:tcPr>
          <w:p w:rsidR="009F36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14:00 – 17:00</w:t>
            </w:r>
          </w:p>
        </w:tc>
        <w:tc>
          <w:tcPr>
            <w:tcW w:w="7654" w:type="dxa"/>
            <w:shd w:val="clear" w:color="auto" w:fill="F2F2F2" w:themeFill="background1" w:themeFillShade="F2"/>
          </w:tcPr>
          <w:p w:rsidR="009F3680" w:rsidRDefault="00C159B5"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rPr>
                <w:rFonts w:ascii="Times New Roman TUR" w:hAnsi="Times New Roman TUR" w:cs="Times New Roman TUR"/>
                <w:bCs/>
              </w:rPr>
              <w:t xml:space="preserve">Anthropometry </w:t>
            </w:r>
            <w:r>
              <w:rPr>
                <w:rFonts w:ascii="Times New Roman TUR" w:hAnsi="Times New Roman TUR" w:cs="Times New Roman TUR"/>
                <w:bCs/>
              </w:rPr>
              <w:t xml:space="preserve">research and applications </w:t>
            </w:r>
            <w:r w:rsidRPr="00A97B80">
              <w:rPr>
                <w:rFonts w:ascii="Times New Roman TUR" w:hAnsi="Times New Roman TUR" w:cs="Times New Roman TUR"/>
                <w:bCs/>
              </w:rPr>
              <w:t>(+ group practice)</w:t>
            </w:r>
          </w:p>
        </w:tc>
      </w:tr>
      <w:tr w:rsidR="009F3680" w:rsidTr="009F3680">
        <w:tc>
          <w:tcPr>
            <w:tcW w:w="959" w:type="dxa"/>
            <w:vMerge w:val="restart"/>
          </w:tcPr>
          <w:p w:rsidR="009F3680" w:rsidRDefault="00C159B5"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t>8/13</w:t>
            </w:r>
          </w:p>
        </w:tc>
        <w:tc>
          <w:tcPr>
            <w:tcW w:w="1843" w:type="dxa"/>
          </w:tcPr>
          <w:p w:rsidR="009F36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9:00 - 10:00</w:t>
            </w:r>
          </w:p>
        </w:tc>
        <w:tc>
          <w:tcPr>
            <w:tcW w:w="7654" w:type="dxa"/>
          </w:tcPr>
          <w:p w:rsidR="009F3680" w:rsidRDefault="00C159B5"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Anthropometry (group presentation)</w:t>
            </w:r>
          </w:p>
        </w:tc>
      </w:tr>
      <w:tr w:rsidR="009F3680" w:rsidTr="009F3680">
        <w:tc>
          <w:tcPr>
            <w:tcW w:w="959" w:type="dxa"/>
            <w:vMerge/>
          </w:tcPr>
          <w:p w:rsidR="009F36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p>
        </w:tc>
        <w:tc>
          <w:tcPr>
            <w:tcW w:w="1843" w:type="dxa"/>
          </w:tcPr>
          <w:p w:rsidR="009F36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10:00 - 12:00</w:t>
            </w:r>
          </w:p>
        </w:tc>
        <w:tc>
          <w:tcPr>
            <w:tcW w:w="7654" w:type="dxa"/>
          </w:tcPr>
          <w:p w:rsidR="009F3680" w:rsidRDefault="00C159B5"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Biomechanics</w:t>
            </w:r>
          </w:p>
        </w:tc>
      </w:tr>
      <w:tr w:rsidR="009F3680" w:rsidTr="009F3680">
        <w:tc>
          <w:tcPr>
            <w:tcW w:w="959" w:type="dxa"/>
            <w:vMerge/>
          </w:tcPr>
          <w:p w:rsidR="009F36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p>
        </w:tc>
        <w:tc>
          <w:tcPr>
            <w:tcW w:w="1843" w:type="dxa"/>
          </w:tcPr>
          <w:p w:rsidR="009F36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14:00 – 17:00</w:t>
            </w:r>
          </w:p>
        </w:tc>
        <w:tc>
          <w:tcPr>
            <w:tcW w:w="7654" w:type="dxa"/>
          </w:tcPr>
          <w:p w:rsidR="009F3680" w:rsidRDefault="00C159B5"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 xml:space="preserve">Biomechanics </w:t>
            </w:r>
            <w:r>
              <w:t xml:space="preserve">applications </w:t>
            </w:r>
            <w:r w:rsidRPr="00A97B80">
              <w:t>(+ group practice)</w:t>
            </w:r>
          </w:p>
        </w:tc>
      </w:tr>
      <w:tr w:rsidR="009F3680" w:rsidTr="009F3680">
        <w:tc>
          <w:tcPr>
            <w:tcW w:w="959" w:type="dxa"/>
            <w:vMerge w:val="restart"/>
            <w:shd w:val="clear" w:color="auto" w:fill="F2F2F2" w:themeFill="background1" w:themeFillShade="F2"/>
          </w:tcPr>
          <w:p w:rsidR="009F3680" w:rsidRDefault="00C159B5"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t>8/14</w:t>
            </w:r>
          </w:p>
        </w:tc>
        <w:tc>
          <w:tcPr>
            <w:tcW w:w="1843" w:type="dxa"/>
            <w:shd w:val="clear" w:color="auto" w:fill="F2F2F2" w:themeFill="background1" w:themeFillShade="F2"/>
          </w:tcPr>
          <w:p w:rsidR="009F3680" w:rsidRPr="00A97B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9:00 - 10:00</w:t>
            </w:r>
          </w:p>
        </w:tc>
        <w:tc>
          <w:tcPr>
            <w:tcW w:w="7654" w:type="dxa"/>
            <w:shd w:val="clear" w:color="auto" w:fill="F2F2F2" w:themeFill="background1" w:themeFillShade="F2"/>
          </w:tcPr>
          <w:p w:rsidR="009F3680" w:rsidRPr="00A97B80" w:rsidRDefault="00C159B5"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 xml:space="preserve">Biomechanics </w:t>
            </w:r>
            <w:r w:rsidRPr="00A97B80">
              <w:rPr>
                <w:rFonts w:ascii="Times New Roman TUR" w:hAnsi="Times New Roman TUR" w:cs="Times New Roman TUR"/>
                <w:bCs/>
              </w:rPr>
              <w:t>(group presentation)</w:t>
            </w:r>
          </w:p>
        </w:tc>
      </w:tr>
      <w:tr w:rsidR="009F3680" w:rsidTr="009F3680">
        <w:tc>
          <w:tcPr>
            <w:tcW w:w="959" w:type="dxa"/>
            <w:vMerge/>
            <w:shd w:val="clear" w:color="auto" w:fill="F2F2F2" w:themeFill="background1" w:themeFillShade="F2"/>
          </w:tcPr>
          <w:p w:rsidR="009F36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p>
        </w:tc>
        <w:tc>
          <w:tcPr>
            <w:tcW w:w="1843" w:type="dxa"/>
            <w:shd w:val="clear" w:color="auto" w:fill="F2F2F2" w:themeFill="background1" w:themeFillShade="F2"/>
          </w:tcPr>
          <w:p w:rsidR="009F3680" w:rsidRPr="00A97B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10:00 – 12:00</w:t>
            </w:r>
          </w:p>
        </w:tc>
        <w:tc>
          <w:tcPr>
            <w:tcW w:w="7654" w:type="dxa"/>
            <w:shd w:val="clear" w:color="auto" w:fill="F2F2F2" w:themeFill="background1" w:themeFillShade="F2"/>
          </w:tcPr>
          <w:p w:rsidR="009F3680" w:rsidRPr="00A97B80" w:rsidRDefault="00C159B5"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Cogniti</w:t>
            </w:r>
            <w:r>
              <w:t>ve issues</w:t>
            </w:r>
            <w:r w:rsidRPr="00A97B80">
              <w:t xml:space="preserve"> and human</w:t>
            </w:r>
            <w:r>
              <w:t>-system interface</w:t>
            </w:r>
          </w:p>
        </w:tc>
      </w:tr>
      <w:tr w:rsidR="009F3680" w:rsidTr="009F3680">
        <w:tc>
          <w:tcPr>
            <w:tcW w:w="959" w:type="dxa"/>
            <w:vMerge/>
            <w:shd w:val="clear" w:color="auto" w:fill="F2F2F2" w:themeFill="background1" w:themeFillShade="F2"/>
          </w:tcPr>
          <w:p w:rsidR="009F36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p>
        </w:tc>
        <w:tc>
          <w:tcPr>
            <w:tcW w:w="1843" w:type="dxa"/>
            <w:shd w:val="clear" w:color="auto" w:fill="F2F2F2" w:themeFill="background1" w:themeFillShade="F2"/>
          </w:tcPr>
          <w:p w:rsidR="009F3680" w:rsidRPr="00A97B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14:00 – 17:00</w:t>
            </w:r>
          </w:p>
        </w:tc>
        <w:tc>
          <w:tcPr>
            <w:tcW w:w="7654" w:type="dxa"/>
            <w:shd w:val="clear" w:color="auto" w:fill="F2F2F2" w:themeFill="background1" w:themeFillShade="F2"/>
          </w:tcPr>
          <w:p w:rsidR="009F3680" w:rsidRPr="00A97B80" w:rsidRDefault="00C159B5"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rPr>
                <w:rFonts w:ascii="Times New Roman TUR" w:hAnsi="Times New Roman TUR" w:cs="Times New Roman TUR"/>
                <w:bCs/>
              </w:rPr>
              <w:t>Cogniti</w:t>
            </w:r>
            <w:r>
              <w:rPr>
                <w:rFonts w:ascii="Times New Roman TUR" w:hAnsi="Times New Roman TUR" w:cs="Times New Roman TUR"/>
                <w:bCs/>
              </w:rPr>
              <w:t>ve issues</w:t>
            </w:r>
            <w:r w:rsidRPr="00A97B80">
              <w:rPr>
                <w:rFonts w:ascii="Times New Roman TUR" w:hAnsi="Times New Roman TUR" w:cs="Times New Roman TUR"/>
                <w:bCs/>
              </w:rPr>
              <w:t xml:space="preserve"> and </w:t>
            </w:r>
            <w:r>
              <w:rPr>
                <w:rFonts w:ascii="Times New Roman TUR" w:hAnsi="Times New Roman TUR" w:cs="Times New Roman TUR"/>
                <w:bCs/>
              </w:rPr>
              <w:t>signal detection</w:t>
            </w:r>
            <w:r w:rsidRPr="00A97B80">
              <w:rPr>
                <w:rFonts w:ascii="Times New Roman TUR" w:hAnsi="Times New Roman TUR" w:cs="Times New Roman TUR"/>
                <w:bCs/>
              </w:rPr>
              <w:t xml:space="preserve"> (+ group practice</w:t>
            </w:r>
            <w:r>
              <w:rPr>
                <w:rFonts w:ascii="Times New Roman TUR" w:hAnsi="Times New Roman TUR" w:cs="Times New Roman TUR"/>
                <w:bCs/>
              </w:rPr>
              <w:t>/</w:t>
            </w:r>
            <w:r w:rsidRPr="00A97B80">
              <w:rPr>
                <w:rFonts w:ascii="Times New Roman TUR" w:hAnsi="Times New Roman TUR" w:cs="Times New Roman TUR"/>
                <w:bCs/>
              </w:rPr>
              <w:t>presentation)</w:t>
            </w:r>
          </w:p>
        </w:tc>
      </w:tr>
      <w:tr w:rsidR="009F3680" w:rsidTr="009F3680">
        <w:tc>
          <w:tcPr>
            <w:tcW w:w="959" w:type="dxa"/>
            <w:vMerge w:val="restart"/>
          </w:tcPr>
          <w:p w:rsidR="009F3680" w:rsidRDefault="00C159B5"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t>8/15</w:t>
            </w:r>
          </w:p>
        </w:tc>
        <w:tc>
          <w:tcPr>
            <w:tcW w:w="1843" w:type="dxa"/>
          </w:tcPr>
          <w:p w:rsidR="009F3680" w:rsidRPr="00A97B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9:00 - 12:00</w:t>
            </w:r>
          </w:p>
        </w:tc>
        <w:tc>
          <w:tcPr>
            <w:tcW w:w="7654" w:type="dxa"/>
          </w:tcPr>
          <w:p w:rsidR="009F3680" w:rsidRPr="00A97B80" w:rsidRDefault="00C159B5"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Developing injury investigation techniques and practice</w:t>
            </w:r>
          </w:p>
        </w:tc>
      </w:tr>
      <w:tr w:rsidR="009F3680" w:rsidTr="009F3680">
        <w:tc>
          <w:tcPr>
            <w:tcW w:w="959" w:type="dxa"/>
            <w:vMerge/>
          </w:tcPr>
          <w:p w:rsidR="009F36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p>
        </w:tc>
        <w:tc>
          <w:tcPr>
            <w:tcW w:w="1843" w:type="dxa"/>
          </w:tcPr>
          <w:p w:rsidR="009F3680" w:rsidRPr="00A97B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14:00 – 17:00</w:t>
            </w:r>
          </w:p>
        </w:tc>
        <w:tc>
          <w:tcPr>
            <w:tcW w:w="7654" w:type="dxa"/>
          </w:tcPr>
          <w:p w:rsidR="009F3680" w:rsidRPr="00A97B80" w:rsidRDefault="00C159B5"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rPr>
                <w:rFonts w:ascii="Times New Roman TUR" w:hAnsi="Times New Roman TUR" w:cs="Times New Roman TUR"/>
                <w:bCs/>
              </w:rPr>
              <w:t>Developing research concepts (+ injury investigation group practice)</w:t>
            </w:r>
          </w:p>
        </w:tc>
      </w:tr>
      <w:tr w:rsidR="009F3680" w:rsidTr="009F3680">
        <w:tc>
          <w:tcPr>
            <w:tcW w:w="959" w:type="dxa"/>
            <w:vMerge w:val="restart"/>
            <w:shd w:val="clear" w:color="auto" w:fill="F2F2F2" w:themeFill="background1" w:themeFillShade="F2"/>
          </w:tcPr>
          <w:p w:rsidR="009F3680" w:rsidRDefault="00C159B5"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t>8/16</w:t>
            </w:r>
          </w:p>
        </w:tc>
        <w:tc>
          <w:tcPr>
            <w:tcW w:w="1843" w:type="dxa"/>
            <w:shd w:val="clear" w:color="auto" w:fill="F2F2F2" w:themeFill="background1" w:themeFillShade="F2"/>
          </w:tcPr>
          <w:p w:rsidR="009F3680" w:rsidRPr="00A97B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9:00 – 10:00</w:t>
            </w:r>
          </w:p>
        </w:tc>
        <w:tc>
          <w:tcPr>
            <w:tcW w:w="7654" w:type="dxa"/>
            <w:shd w:val="clear" w:color="auto" w:fill="F2F2F2" w:themeFill="background1" w:themeFillShade="F2"/>
          </w:tcPr>
          <w:p w:rsidR="009F3680" w:rsidRPr="00A97B80" w:rsidRDefault="00C159B5"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Injury investigation case studies (group presentation</w:t>
            </w:r>
            <w:r>
              <w:t>)</w:t>
            </w:r>
          </w:p>
        </w:tc>
      </w:tr>
      <w:tr w:rsidR="009F3680" w:rsidTr="009F3680">
        <w:tc>
          <w:tcPr>
            <w:tcW w:w="959" w:type="dxa"/>
            <w:vMerge/>
            <w:shd w:val="clear" w:color="auto" w:fill="F2F2F2" w:themeFill="background1" w:themeFillShade="F2"/>
          </w:tcPr>
          <w:p w:rsidR="009F3680" w:rsidRPr="00A97B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p>
        </w:tc>
        <w:tc>
          <w:tcPr>
            <w:tcW w:w="1843" w:type="dxa"/>
            <w:shd w:val="clear" w:color="auto" w:fill="F2F2F2" w:themeFill="background1" w:themeFillShade="F2"/>
          </w:tcPr>
          <w:p w:rsidR="009F3680" w:rsidRPr="00A97B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10:00 – 12:00</w:t>
            </w:r>
          </w:p>
        </w:tc>
        <w:tc>
          <w:tcPr>
            <w:tcW w:w="7654" w:type="dxa"/>
            <w:shd w:val="clear" w:color="auto" w:fill="F2F2F2" w:themeFill="background1" w:themeFillShade="F2"/>
          </w:tcPr>
          <w:p w:rsidR="009F3680" w:rsidRPr="00A97B80" w:rsidRDefault="00C159B5"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A97B80">
              <w:t>Cou</w:t>
            </w:r>
            <w:r w:rsidRPr="00E42BD8">
              <w:t xml:space="preserve">rse review </w:t>
            </w:r>
            <w:r>
              <w:t>(comprehensive problem solving)</w:t>
            </w:r>
          </w:p>
        </w:tc>
      </w:tr>
      <w:tr w:rsidR="009F3680" w:rsidTr="009F3680">
        <w:tc>
          <w:tcPr>
            <w:tcW w:w="959" w:type="dxa"/>
            <w:vMerge/>
            <w:shd w:val="clear" w:color="auto" w:fill="F2F2F2" w:themeFill="background1" w:themeFillShade="F2"/>
          </w:tcPr>
          <w:p w:rsidR="009F3680" w:rsidRPr="00A97B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p>
        </w:tc>
        <w:tc>
          <w:tcPr>
            <w:tcW w:w="1843" w:type="dxa"/>
            <w:shd w:val="clear" w:color="auto" w:fill="F2F2F2" w:themeFill="background1" w:themeFillShade="F2"/>
          </w:tcPr>
          <w:p w:rsidR="009F3680" w:rsidRPr="00A97B80" w:rsidRDefault="009F3680"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rsidRPr="002F5960">
              <w:t>14:00 – 17:00</w:t>
            </w:r>
          </w:p>
        </w:tc>
        <w:tc>
          <w:tcPr>
            <w:tcW w:w="7654" w:type="dxa"/>
            <w:shd w:val="clear" w:color="auto" w:fill="F2F2F2" w:themeFill="background1" w:themeFillShade="F2"/>
          </w:tcPr>
          <w:p w:rsidR="009F3680" w:rsidRPr="00A97B80" w:rsidRDefault="00C159B5" w:rsidP="009F3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pPr>
            <w:r>
              <w:t>E</w:t>
            </w:r>
            <w:r w:rsidRPr="00E42BD8">
              <w:t>xam</w:t>
            </w:r>
          </w:p>
        </w:tc>
      </w:tr>
    </w:tbl>
    <w:p w:rsidR="00E42BD8" w:rsidRDefault="00E42BD8" w:rsidP="00E42B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p>
    <w:p w:rsidR="00C159B5" w:rsidRDefault="00C159B5" w:rsidP="00E42B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p>
    <w:p w:rsidR="00C159B5" w:rsidRPr="00E42BD8" w:rsidRDefault="00C159B5" w:rsidP="00E42B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p>
    <w:p w:rsidR="0014783D" w:rsidRPr="009F3680" w:rsidRDefault="0014783D" w:rsidP="0014783D">
      <w:pPr>
        <w:pStyle w:val="Web"/>
        <w:jc w:val="center"/>
        <w:rPr>
          <w:rFonts w:ascii="Times New Roman" w:hAnsi="Times New Roman"/>
          <w:b/>
          <w:bCs/>
          <w:iCs/>
          <w:sz w:val="28"/>
          <w:szCs w:val="24"/>
        </w:rPr>
      </w:pPr>
      <w:r>
        <w:rPr>
          <w:bCs/>
          <w:i/>
          <w:iCs/>
        </w:rPr>
        <w:br w:type="page"/>
      </w:r>
      <w:r w:rsidRPr="009F3680">
        <w:rPr>
          <w:rFonts w:ascii="Times New Roman" w:hAnsi="Times New Roman"/>
          <w:b/>
          <w:bCs/>
          <w:iCs/>
          <w:sz w:val="28"/>
          <w:szCs w:val="24"/>
        </w:rPr>
        <w:t>Instructor</w:t>
      </w:r>
      <w:r w:rsidR="00572F07" w:rsidRPr="009F3680">
        <w:rPr>
          <w:rFonts w:ascii="Times New Roman" w:hAnsi="Times New Roman"/>
          <w:b/>
          <w:bCs/>
          <w:iCs/>
          <w:sz w:val="28"/>
          <w:szCs w:val="24"/>
        </w:rPr>
        <w:t>’</w:t>
      </w:r>
      <w:r w:rsidRPr="009F3680">
        <w:rPr>
          <w:rFonts w:ascii="Times New Roman" w:hAnsi="Times New Roman"/>
          <w:b/>
          <w:bCs/>
          <w:iCs/>
          <w:sz w:val="28"/>
          <w:szCs w:val="24"/>
        </w:rPr>
        <w:t>s Profile</w:t>
      </w:r>
    </w:p>
    <w:p w:rsidR="0014783D" w:rsidRPr="009F3680" w:rsidRDefault="0014783D" w:rsidP="0014783D">
      <w:pPr>
        <w:rPr>
          <w:b/>
          <w:sz w:val="28"/>
        </w:rPr>
      </w:pPr>
      <w:r w:rsidRPr="009F3680">
        <w:rPr>
          <w:b/>
          <w:sz w:val="28"/>
        </w:rPr>
        <w:t>Hongwei Hsiao, Ph.D.</w:t>
      </w:r>
    </w:p>
    <w:p w:rsidR="00C159B5" w:rsidRDefault="00C159B5" w:rsidP="00C159B5">
      <w:pPr>
        <w:spacing w:before="240"/>
      </w:pPr>
      <w:r>
        <w:t xml:space="preserve">Dr. Hongwei Hsiao serves as Chief of the Protective Technology Branch and Coordinator of Center for Occupational Robotics Research at the National Institute for Occupational Safety and Health (NIOSH), USA.  He received his degrees from Cornell University and the University of Michigan and has held engineering and management positions in both the manufacturing industry and the U.S. Government. He also has taught engineering and public health in academia and guided students and scientists for research proposal writing for 19 years. </w:t>
      </w:r>
    </w:p>
    <w:p w:rsidR="00C159B5" w:rsidRDefault="00C159B5" w:rsidP="00C159B5">
      <w:pPr>
        <w:spacing w:before="240"/>
      </w:pPr>
      <w:r>
        <w:t>Dr. Hsiao has coordinated numerous large-scale programs and projects in the areas of safety research and human factors engineering, including</w:t>
      </w:r>
      <w:r w:rsidRPr="00DE38EF">
        <w:t xml:space="preserve"> </w:t>
      </w:r>
      <w:r>
        <w:t xml:space="preserve">fall </w:t>
      </w:r>
      <w:r w:rsidRPr="00DE38EF">
        <w:t>prevent</w:t>
      </w:r>
      <w:r>
        <w:t>ion</w:t>
      </w:r>
      <w:r w:rsidRPr="00DE38EF">
        <w:t xml:space="preserve">, </w:t>
      </w:r>
      <w:r>
        <w:t>equipment safety, patient safety, protective technologies</w:t>
      </w:r>
      <w:r w:rsidRPr="00DE38EF">
        <w:t xml:space="preserve"> for special populations</w:t>
      </w:r>
      <w:r>
        <w:t>,</w:t>
      </w:r>
      <w:r w:rsidRPr="002F6B2F">
        <w:t xml:space="preserve"> </w:t>
      </w:r>
      <w:r>
        <w:t xml:space="preserve">robotics, autonomous vehicle safety, </w:t>
      </w:r>
      <w:r w:rsidRPr="00DE38EF">
        <w:t>and</w:t>
      </w:r>
      <w:r>
        <w:t xml:space="preserve"> digital simulations for job safety,</w:t>
      </w:r>
      <w:r w:rsidRPr="00DE38EF">
        <w:t xml:space="preserve"> </w:t>
      </w:r>
      <w:r>
        <w:t>which have had significant public health and occupational safety impacts.  An internationally recognized scientist for occupational safety, he is involved in the development of institute-wide strategic goals and international safety standards. He has chaired several international conferences and seminars on digital simulations, fall Prevention, anthropometry research,</w:t>
      </w:r>
      <w:r w:rsidRPr="00051955">
        <w:t xml:space="preserve"> </w:t>
      </w:r>
      <w:r>
        <w:t xml:space="preserve">and robotics. </w:t>
      </w:r>
    </w:p>
    <w:p w:rsidR="00C159B5" w:rsidRDefault="00C159B5" w:rsidP="00C159B5">
      <w:pPr>
        <w:spacing w:before="240"/>
      </w:pPr>
      <w:r>
        <w:t>Dr. Hsiao currently manages eight laboratories for NIOSH, including the Virtual Reality Lab, Human Factors Lab, Anthropometry Research Lab, Robotics research, and Vehicle Safety Lab, among others.  An editorial board member for eight scientific journals, Dr. Hsiao also has more than 170 publications and patents in engineering innovation for injury control.  He also e</w:t>
      </w:r>
      <w:r w:rsidRPr="00DE38EF">
        <w:t xml:space="preserve">dited two journal special issues </w:t>
      </w:r>
      <w:r>
        <w:t xml:space="preserve">and a book on fall prevention and protection. With more than 25 years of program management and safety research experience, he </w:t>
      </w:r>
      <w:r w:rsidRPr="00521FD8">
        <w:t>ha</w:t>
      </w:r>
      <w:r>
        <w:t>s</w:t>
      </w:r>
      <w:r w:rsidRPr="00521FD8">
        <w:t xml:space="preserve"> been frequently invited as an international speaker on </w:t>
      </w:r>
      <w:r>
        <w:t xml:space="preserve">strategic planning and research for industrial safety.  He is a recipient of more than twenty prestigious service, science, and innovation awards.  Among the most recent honors are the Public Health Service Engineer of the Year from the U.S. Government (2011), Human Factors Prize from the Human Factors and Ergonomics Society (2012), </w:t>
      </w:r>
      <w:r w:rsidRPr="008D4D11">
        <w:t xml:space="preserve">Alice Hamilton Award </w:t>
      </w:r>
      <w:r>
        <w:t xml:space="preserve">(2013), </w:t>
      </w:r>
      <w:r w:rsidRPr="008D4D11">
        <w:t xml:space="preserve">Bullard-Sherwood Transfer of Knowledge Award </w:t>
      </w:r>
      <w:r>
        <w:t>(2014), Federal Health Information Technology Innovation Award from the Digital Health Xchange (2015), and Samuel Heyman Service to America Medals Career Achievement Finalist (2016).</w:t>
      </w:r>
    </w:p>
    <w:p w:rsidR="00C159B5" w:rsidRPr="009B6253" w:rsidRDefault="00C159B5" w:rsidP="00C159B5">
      <w:pPr>
        <w:spacing w:before="240"/>
        <w:rPr>
          <w:bCs/>
          <w:iCs/>
        </w:rPr>
      </w:pPr>
      <w:r>
        <w:t xml:space="preserve">Dr. Hsiao was elected as a Fellow of the </w:t>
      </w:r>
      <w:r w:rsidRPr="00CD72C5">
        <w:rPr>
          <w:i/>
        </w:rPr>
        <w:t>Institute of Ergonomics and Human Factors</w:t>
      </w:r>
      <w:r>
        <w:t xml:space="preserve"> (UK) in 2003 and an Honorary Fellow of the </w:t>
      </w:r>
      <w:r w:rsidRPr="00CD72C5">
        <w:rPr>
          <w:i/>
        </w:rPr>
        <w:t>Human Factors and Ergonomics Society</w:t>
      </w:r>
      <w:r>
        <w:t xml:space="preserve"> (US) in 2005.  In 2003, he was credentialed by the U.S. Government Centers for Disease Control and Prevention (CDC) Executive Resources Board as a Silvio O. Conte Senior Biomedical Research Service Fellow and was named a CDC Distinguished Consultant, an appointment </w:t>
      </w:r>
      <w:r w:rsidRPr="00B82124">
        <w:t xml:space="preserve">analogous to Senior Executive and Endowed Chair </w:t>
      </w:r>
      <w:r>
        <w:t xml:space="preserve">Professor </w:t>
      </w:r>
      <w:r w:rsidRPr="00B82124">
        <w:t>ranks</w:t>
      </w:r>
      <w:r>
        <w:t>.</w:t>
      </w:r>
      <w:r w:rsidRPr="009B6253">
        <w:rPr>
          <w:b/>
          <w:i/>
        </w:rPr>
        <w:t xml:space="preserve"> </w:t>
      </w:r>
    </w:p>
    <w:p w:rsidR="0014783D" w:rsidRPr="003A19B9" w:rsidRDefault="0014783D" w:rsidP="0014783D">
      <w:pPr>
        <w:rPr>
          <w:rFonts w:ascii="Arial" w:hAnsi="Arial" w:cs="Arial"/>
          <w:bCs/>
          <w:iCs/>
        </w:rPr>
      </w:pPr>
    </w:p>
    <w:p w:rsidR="00C67EE7" w:rsidRPr="003A19B9" w:rsidRDefault="00C67EE7" w:rsidP="00C67EE7">
      <w:pPr>
        <w:rPr>
          <w:rFonts w:ascii="Arial" w:hAnsi="Arial" w:cs="Arial"/>
        </w:rPr>
      </w:pPr>
    </w:p>
    <w:p w:rsidR="0014783D" w:rsidRDefault="0014783D" w:rsidP="00147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iCs/>
        </w:rPr>
      </w:pPr>
    </w:p>
    <w:p w:rsidR="0014783D" w:rsidRDefault="0014783D" w:rsidP="0014783D">
      <w:pPr>
        <w:tabs>
          <w:tab w:val="left" w:pos="0"/>
          <w:tab w:val="left" w:pos="1800"/>
          <w:tab w:val="right" w:pos="8640"/>
          <w:tab w:val="left" w:pos="9000"/>
        </w:tabs>
        <w:ind w:left="2160" w:right="-360" w:hanging="2160"/>
        <w:rPr>
          <w:rFonts w:ascii="Arial" w:hAnsi="Arial" w:cs="Arial"/>
        </w:rPr>
      </w:pPr>
    </w:p>
    <w:p w:rsidR="0014783D" w:rsidRDefault="0014783D" w:rsidP="0014783D">
      <w:pPr>
        <w:tabs>
          <w:tab w:val="left" w:pos="0"/>
          <w:tab w:val="left" w:pos="1800"/>
          <w:tab w:val="right" w:pos="8640"/>
          <w:tab w:val="left" w:pos="9000"/>
        </w:tabs>
        <w:ind w:left="2160" w:right="-360" w:hanging="2160"/>
        <w:rPr>
          <w:rFonts w:ascii="Arial" w:hAnsi="Arial" w:cs="Arial"/>
        </w:rPr>
      </w:pPr>
    </w:p>
    <w:p w:rsidR="009F4ACA" w:rsidRDefault="009F4ACA">
      <w:pPr>
        <w:spacing w:after="200" w:line="276" w:lineRule="auto"/>
        <w:rPr>
          <w:rFonts w:ascii="Arial" w:hAnsi="Arial" w:cs="Arial"/>
        </w:rPr>
      </w:pPr>
      <w:r>
        <w:rPr>
          <w:rFonts w:ascii="Arial" w:hAnsi="Arial" w:cs="Arial"/>
        </w:rPr>
        <w:br w:type="page"/>
      </w:r>
    </w:p>
    <w:p w:rsidR="009F4ACA" w:rsidRPr="009F3680" w:rsidRDefault="004C54BA" w:rsidP="009F4ACA">
      <w:pPr>
        <w:spacing w:line="320" w:lineRule="exact"/>
        <w:rPr>
          <w:rFonts w:eastAsia="標楷體"/>
          <w:b/>
          <w:sz w:val="28"/>
          <w:lang w:eastAsia="zh-TW"/>
        </w:rPr>
      </w:pPr>
      <w:r w:rsidRPr="004C54BA">
        <w:rPr>
          <w:rFonts w:eastAsia="標楷體" w:hint="eastAsia"/>
          <w:b/>
          <w:sz w:val="28"/>
          <w:lang w:eastAsia="zh-TW"/>
        </w:rPr>
        <w:t>報名、繳費期間</w:t>
      </w:r>
      <w:r w:rsidR="009F4ACA" w:rsidRPr="009F3680">
        <w:rPr>
          <w:rFonts w:eastAsia="標楷體"/>
          <w:b/>
          <w:sz w:val="28"/>
          <w:lang w:eastAsia="zh-TW"/>
        </w:rPr>
        <w:t>以及退費標準</w:t>
      </w:r>
    </w:p>
    <w:p w:rsidR="009F4ACA" w:rsidRDefault="009F4ACA" w:rsidP="009F4ACA">
      <w:pPr>
        <w:spacing w:line="320" w:lineRule="exact"/>
        <w:rPr>
          <w:rFonts w:eastAsia="標楷體"/>
          <w:b/>
          <w:lang w:eastAsia="zh-TW"/>
        </w:rPr>
      </w:pPr>
    </w:p>
    <w:p w:rsidR="004C54BA" w:rsidRPr="004C54BA" w:rsidRDefault="004C54BA" w:rsidP="009F4ACA">
      <w:pPr>
        <w:spacing w:line="320" w:lineRule="exact"/>
        <w:rPr>
          <w:rFonts w:eastAsia="標楷體" w:hint="eastAsia"/>
          <w:u w:val="single"/>
          <w:lang w:eastAsia="zh-TW"/>
        </w:rPr>
      </w:pPr>
      <w:r w:rsidRPr="004C54BA">
        <w:rPr>
          <w:rFonts w:eastAsia="標楷體" w:hint="eastAsia"/>
          <w:u w:val="single"/>
          <w:lang w:eastAsia="zh-TW"/>
        </w:rPr>
        <w:t>報名、繳費期間</w:t>
      </w:r>
    </w:p>
    <w:p w:rsidR="009F4ACA" w:rsidRPr="009F4ACA" w:rsidRDefault="009F4ACA" w:rsidP="009F4ACA">
      <w:pPr>
        <w:spacing w:line="320" w:lineRule="exact"/>
        <w:jc w:val="both"/>
        <w:rPr>
          <w:rFonts w:eastAsia="標楷體"/>
          <w:lang w:eastAsia="zh-TW"/>
        </w:rPr>
      </w:pPr>
      <w:r w:rsidRPr="009F4ACA">
        <w:rPr>
          <w:rFonts w:eastAsia="標楷體"/>
          <w:lang w:eastAsia="zh-TW"/>
        </w:rPr>
        <w:t>報名手續以完成報名費繳交為準，</w:t>
      </w:r>
      <w:r w:rsidRPr="009F4ACA">
        <w:rPr>
          <w:rFonts w:eastAsia="標楷體"/>
          <w:b/>
          <w:lang w:eastAsia="zh-TW"/>
        </w:rPr>
        <w:t>一般人士費用為</w:t>
      </w:r>
      <w:r w:rsidR="00C81A9F" w:rsidRPr="00C81A9F">
        <w:rPr>
          <w:rFonts w:eastAsia="標楷體" w:hint="eastAsia"/>
          <w:b/>
          <w:lang w:eastAsia="zh-TW"/>
        </w:rPr>
        <w:t>7</w:t>
      </w:r>
      <w:r w:rsidRPr="00C81A9F">
        <w:rPr>
          <w:rFonts w:eastAsia="標楷體"/>
          <w:b/>
          <w:lang w:eastAsia="zh-TW"/>
        </w:rPr>
        <w:t>,000</w:t>
      </w:r>
      <w:r w:rsidRPr="009F4ACA">
        <w:rPr>
          <w:rFonts w:eastAsia="標楷體"/>
          <w:b/>
          <w:lang w:eastAsia="zh-TW"/>
        </w:rPr>
        <w:t>元，學生為</w:t>
      </w:r>
      <w:r w:rsidR="00C81A9F">
        <w:rPr>
          <w:rFonts w:eastAsia="標楷體" w:hint="eastAsia"/>
          <w:b/>
          <w:lang w:eastAsia="zh-TW"/>
        </w:rPr>
        <w:t>1</w:t>
      </w:r>
      <w:r w:rsidRPr="009F4ACA">
        <w:rPr>
          <w:rFonts w:eastAsia="標楷體"/>
          <w:b/>
          <w:lang w:eastAsia="zh-TW"/>
        </w:rPr>
        <w:t>,</w:t>
      </w:r>
      <w:r w:rsidR="00C81A9F">
        <w:rPr>
          <w:rFonts w:eastAsia="標楷體" w:hint="eastAsia"/>
          <w:b/>
          <w:lang w:eastAsia="zh-TW"/>
        </w:rPr>
        <w:t>5</w:t>
      </w:r>
      <w:r w:rsidRPr="009F4ACA">
        <w:rPr>
          <w:rFonts w:eastAsia="標楷體"/>
          <w:b/>
          <w:lang w:eastAsia="zh-TW"/>
        </w:rPr>
        <w:t>00</w:t>
      </w:r>
      <w:r w:rsidRPr="009F4ACA">
        <w:rPr>
          <w:rFonts w:eastAsia="標楷體"/>
          <w:b/>
          <w:lang w:eastAsia="zh-TW"/>
        </w:rPr>
        <w:t>元</w:t>
      </w:r>
      <w:r w:rsidRPr="009F4ACA">
        <w:rPr>
          <w:rFonts w:eastAsia="標楷體"/>
          <w:lang w:eastAsia="zh-TW"/>
        </w:rPr>
        <w:t>。學生需檢附學生證正反面影本</w:t>
      </w:r>
      <w:r w:rsidRPr="009F4ACA">
        <w:rPr>
          <w:rFonts w:eastAsia="標楷體"/>
          <w:lang w:eastAsia="zh-TW"/>
        </w:rPr>
        <w:t>(</w:t>
      </w:r>
      <w:r w:rsidRPr="009F4ACA">
        <w:rPr>
          <w:rFonts w:eastAsia="標楷體"/>
          <w:lang w:eastAsia="zh-TW"/>
        </w:rPr>
        <w:t>蓋有學校註冊章</w:t>
      </w:r>
      <w:r w:rsidRPr="009F4ACA">
        <w:rPr>
          <w:rFonts w:eastAsia="標楷體"/>
          <w:lang w:eastAsia="zh-TW"/>
        </w:rPr>
        <w:t xml:space="preserve">) </w:t>
      </w:r>
      <w:r w:rsidRPr="009F4ACA">
        <w:rPr>
          <w:rFonts w:eastAsia="標楷體"/>
          <w:lang w:eastAsia="zh-TW"/>
        </w:rPr>
        <w:t>或檢附在學證明。限額</w:t>
      </w:r>
      <w:r w:rsidR="00C81A9F">
        <w:rPr>
          <w:rFonts w:eastAsia="標楷體" w:hint="eastAsia"/>
          <w:lang w:eastAsia="zh-TW"/>
        </w:rPr>
        <w:t>20</w:t>
      </w:r>
      <w:r w:rsidRPr="009F4ACA">
        <w:rPr>
          <w:rFonts w:eastAsia="標楷體"/>
          <w:lang w:eastAsia="zh-TW"/>
        </w:rPr>
        <w:t>名，即日起即可報名至額滿為止，報名截止日為民國</w:t>
      </w:r>
      <w:r w:rsidRPr="009F4ACA">
        <w:rPr>
          <w:rFonts w:eastAsia="標楷體"/>
          <w:lang w:eastAsia="zh-TW"/>
        </w:rPr>
        <w:t>10</w:t>
      </w:r>
      <w:r w:rsidR="00C159B5">
        <w:rPr>
          <w:rFonts w:eastAsia="標楷體"/>
          <w:lang w:eastAsia="zh-TW"/>
        </w:rPr>
        <w:t>8</w:t>
      </w:r>
      <w:r w:rsidRPr="009F4ACA">
        <w:rPr>
          <w:rFonts w:eastAsia="標楷體"/>
          <w:lang w:eastAsia="zh-TW"/>
        </w:rPr>
        <w:t>年</w:t>
      </w:r>
      <w:r w:rsidR="0028574C">
        <w:rPr>
          <w:rFonts w:eastAsia="標楷體" w:hint="eastAsia"/>
          <w:lang w:eastAsia="zh-TW"/>
        </w:rPr>
        <w:t>8</w:t>
      </w:r>
      <w:r w:rsidRPr="009F4ACA">
        <w:rPr>
          <w:rFonts w:eastAsia="標楷體"/>
          <w:lang w:eastAsia="zh-TW"/>
        </w:rPr>
        <w:t>月</w:t>
      </w:r>
      <w:r w:rsidR="00C159B5">
        <w:rPr>
          <w:rFonts w:eastAsia="標楷體"/>
          <w:lang w:eastAsia="zh-TW"/>
        </w:rPr>
        <w:t>9</w:t>
      </w:r>
      <w:r w:rsidRPr="009F4ACA">
        <w:rPr>
          <w:rFonts w:eastAsia="標楷體"/>
          <w:lang w:eastAsia="zh-TW"/>
        </w:rPr>
        <w:t>日止</w:t>
      </w:r>
      <w:r w:rsidRPr="009F4ACA">
        <w:rPr>
          <w:rFonts w:eastAsia="標楷體"/>
          <w:lang w:eastAsia="zh-TW"/>
        </w:rPr>
        <w:t>(</w:t>
      </w:r>
      <w:r w:rsidRPr="009F4ACA">
        <w:rPr>
          <w:rFonts w:eastAsia="標楷體"/>
          <w:lang w:eastAsia="zh-TW"/>
        </w:rPr>
        <w:t>報名網址：</w:t>
      </w:r>
      <w:r w:rsidR="00C159B5" w:rsidRPr="00C159B5">
        <w:rPr>
          <w:rFonts w:eastAsia="標楷體"/>
          <w:lang w:eastAsia="zh-TW"/>
        </w:rPr>
        <w:t>https://reurl.cc/qE8VR</w:t>
      </w:r>
      <w:r w:rsidR="00C81A9F">
        <w:rPr>
          <w:rFonts w:eastAsia="標楷體" w:hint="eastAsia"/>
          <w:lang w:eastAsia="zh-TW"/>
        </w:rPr>
        <w:t xml:space="preserve"> </w:t>
      </w:r>
      <w:r w:rsidRPr="009F4ACA">
        <w:rPr>
          <w:rFonts w:eastAsia="標楷體"/>
          <w:lang w:eastAsia="zh-TW"/>
        </w:rPr>
        <w:t>)</w:t>
      </w:r>
      <w:r w:rsidRPr="009F4ACA">
        <w:rPr>
          <w:rFonts w:eastAsia="標楷體"/>
          <w:lang w:eastAsia="zh-TW"/>
        </w:rPr>
        <w:t>。請於收到報名正取回覆後兩天內劃撥學費</w:t>
      </w:r>
      <w:r w:rsidRPr="009F4ACA">
        <w:rPr>
          <w:rFonts w:eastAsia="標楷體"/>
          <w:lang w:eastAsia="zh-TW"/>
        </w:rPr>
        <w:t>(</w:t>
      </w:r>
      <w:r w:rsidRPr="009F4ACA">
        <w:rPr>
          <w:rFonts w:eastAsia="標楷體"/>
          <w:lang w:eastAsia="zh-TW"/>
        </w:rPr>
        <w:t>劃撥帳號將會連同正取通知由工作人員寄發</w:t>
      </w:r>
      <w:r w:rsidRPr="009F4ACA">
        <w:rPr>
          <w:rFonts w:eastAsia="標楷體"/>
          <w:lang w:eastAsia="zh-TW"/>
        </w:rPr>
        <w:t>)</w:t>
      </w:r>
      <w:r w:rsidRPr="009F4ACA">
        <w:rPr>
          <w:rFonts w:eastAsia="標楷體"/>
          <w:lang w:eastAsia="zh-TW"/>
        </w:rPr>
        <w:t>。</w:t>
      </w:r>
    </w:p>
    <w:p w:rsidR="009F4ACA" w:rsidRPr="009F4ACA" w:rsidRDefault="009F4ACA" w:rsidP="009F4ACA">
      <w:pPr>
        <w:spacing w:line="320" w:lineRule="exact"/>
        <w:rPr>
          <w:rFonts w:eastAsia="標楷體"/>
          <w:lang w:eastAsia="zh-TW"/>
        </w:rPr>
      </w:pPr>
    </w:p>
    <w:p w:rsidR="009F4ACA" w:rsidRPr="009F4ACA" w:rsidRDefault="009F4ACA" w:rsidP="00C81A9F">
      <w:pPr>
        <w:spacing w:line="320" w:lineRule="exact"/>
        <w:rPr>
          <w:rFonts w:eastAsia="標楷體"/>
          <w:u w:val="single"/>
          <w:lang w:eastAsia="zh-TW"/>
        </w:rPr>
      </w:pPr>
      <w:r w:rsidRPr="009F4ACA">
        <w:rPr>
          <w:rFonts w:eastAsia="標楷體"/>
          <w:u w:val="single"/>
          <w:lang w:eastAsia="zh-TW"/>
        </w:rPr>
        <w:t>退費標準</w:t>
      </w:r>
    </w:p>
    <w:p w:rsidR="009F4ACA" w:rsidRPr="009F4ACA" w:rsidRDefault="009F4ACA" w:rsidP="009F4ACA">
      <w:pPr>
        <w:spacing w:line="320" w:lineRule="exact"/>
        <w:ind w:leftChars="177" w:left="661" w:hangingChars="118" w:hanging="236"/>
        <w:jc w:val="both"/>
        <w:rPr>
          <w:rFonts w:eastAsia="標楷體"/>
          <w:lang w:eastAsia="zh-TW"/>
        </w:rPr>
      </w:pPr>
      <w:r w:rsidRPr="009F4ACA">
        <w:rPr>
          <w:rFonts w:eastAsia="標楷體"/>
          <w:sz w:val="20"/>
          <w:szCs w:val="20"/>
          <w:lang w:eastAsia="zh-TW"/>
        </w:rPr>
        <w:t>1.</w:t>
      </w:r>
      <w:r w:rsidRPr="009F4ACA">
        <w:rPr>
          <w:rFonts w:eastAsia="標楷體"/>
          <w:lang w:eastAsia="zh-TW"/>
        </w:rPr>
        <w:t xml:space="preserve"> </w:t>
      </w:r>
      <w:r w:rsidRPr="009F4ACA">
        <w:rPr>
          <w:rFonts w:eastAsia="標楷體"/>
          <w:lang w:eastAsia="zh-TW"/>
        </w:rPr>
        <w:t>於民國</w:t>
      </w:r>
      <w:r w:rsidR="00C159B5">
        <w:rPr>
          <w:rFonts w:eastAsia="標楷體"/>
          <w:lang w:eastAsia="zh-TW"/>
        </w:rPr>
        <w:t>108</w:t>
      </w:r>
      <w:r w:rsidRPr="009F4ACA">
        <w:rPr>
          <w:rFonts w:eastAsia="標楷體"/>
          <w:lang w:eastAsia="zh-TW"/>
        </w:rPr>
        <w:t>年</w:t>
      </w:r>
      <w:r w:rsidR="00C81A9F">
        <w:rPr>
          <w:rFonts w:eastAsia="標楷體" w:hint="eastAsia"/>
          <w:lang w:eastAsia="zh-TW"/>
        </w:rPr>
        <w:t>8</w:t>
      </w:r>
      <w:r w:rsidRPr="009F4ACA">
        <w:rPr>
          <w:rFonts w:eastAsia="標楷體"/>
          <w:lang w:eastAsia="zh-TW"/>
        </w:rPr>
        <w:t>月</w:t>
      </w:r>
      <w:r w:rsidR="004C54BA">
        <w:rPr>
          <w:rFonts w:eastAsia="標楷體" w:hint="eastAsia"/>
          <w:lang w:eastAsia="zh-TW"/>
        </w:rPr>
        <w:t>8</w:t>
      </w:r>
      <w:r w:rsidRPr="009F4ACA">
        <w:rPr>
          <w:rFonts w:eastAsia="標楷體"/>
          <w:lang w:eastAsia="zh-TW"/>
        </w:rPr>
        <w:t>日前辦理退費者，學費退</w:t>
      </w:r>
      <w:r w:rsidRPr="009F4ACA">
        <w:rPr>
          <w:rFonts w:eastAsia="標楷體"/>
          <w:lang w:eastAsia="zh-TW"/>
        </w:rPr>
        <w:t xml:space="preserve">90% </w:t>
      </w:r>
      <w:r w:rsidRPr="009F4ACA">
        <w:rPr>
          <w:rFonts w:eastAsia="標楷體"/>
          <w:lang w:eastAsia="zh-TW"/>
        </w:rPr>
        <w:t>，民國</w:t>
      </w:r>
      <w:r w:rsidR="00C159B5">
        <w:rPr>
          <w:rFonts w:eastAsia="標楷體"/>
          <w:lang w:eastAsia="zh-TW"/>
        </w:rPr>
        <w:t>108</w:t>
      </w:r>
      <w:r w:rsidRPr="009F4ACA">
        <w:rPr>
          <w:rFonts w:eastAsia="標楷體"/>
          <w:lang w:eastAsia="zh-TW"/>
        </w:rPr>
        <w:t>年</w:t>
      </w:r>
      <w:r w:rsidR="00C81A9F">
        <w:rPr>
          <w:rFonts w:eastAsia="標楷體" w:hint="eastAsia"/>
          <w:lang w:eastAsia="zh-TW"/>
        </w:rPr>
        <w:t>8</w:t>
      </w:r>
      <w:r w:rsidRPr="009F4ACA">
        <w:rPr>
          <w:rFonts w:eastAsia="標楷體"/>
          <w:lang w:eastAsia="zh-TW"/>
        </w:rPr>
        <w:t>月</w:t>
      </w:r>
      <w:r w:rsidR="004C54BA">
        <w:rPr>
          <w:rFonts w:eastAsia="標楷體" w:hint="eastAsia"/>
          <w:lang w:eastAsia="zh-TW"/>
        </w:rPr>
        <w:t>9</w:t>
      </w:r>
      <w:r w:rsidRPr="009F4ACA">
        <w:rPr>
          <w:rFonts w:eastAsia="標楷體"/>
          <w:lang w:eastAsia="zh-TW"/>
        </w:rPr>
        <w:t>日起辦理者退學費的</w:t>
      </w:r>
      <w:r w:rsidRPr="009F4ACA">
        <w:rPr>
          <w:rFonts w:eastAsia="標楷體"/>
          <w:lang w:eastAsia="zh-TW"/>
        </w:rPr>
        <w:t>70</w:t>
      </w:r>
      <w:r w:rsidRPr="009F4ACA">
        <w:rPr>
          <w:rFonts w:eastAsia="標楷體"/>
          <w:lang w:eastAsia="zh-TW"/>
        </w:rPr>
        <w:t>％，民國</w:t>
      </w:r>
      <w:r w:rsidRPr="009F4ACA">
        <w:rPr>
          <w:rFonts w:eastAsia="標楷體"/>
          <w:lang w:eastAsia="zh-TW"/>
        </w:rPr>
        <w:t>106</w:t>
      </w:r>
      <w:r w:rsidRPr="009F4ACA">
        <w:rPr>
          <w:rFonts w:eastAsia="標楷體"/>
          <w:lang w:eastAsia="zh-TW"/>
        </w:rPr>
        <w:t>年</w:t>
      </w:r>
      <w:r w:rsidR="00C81A9F">
        <w:rPr>
          <w:rFonts w:eastAsia="標楷體" w:hint="eastAsia"/>
          <w:lang w:eastAsia="zh-TW"/>
        </w:rPr>
        <w:t>8</w:t>
      </w:r>
      <w:r w:rsidRPr="009F4ACA">
        <w:rPr>
          <w:rFonts w:eastAsia="標楷體"/>
          <w:lang w:eastAsia="zh-TW"/>
        </w:rPr>
        <w:t>月</w:t>
      </w:r>
      <w:r w:rsidR="004C54BA">
        <w:rPr>
          <w:rFonts w:eastAsia="標楷體" w:hint="eastAsia"/>
          <w:lang w:eastAsia="zh-TW"/>
        </w:rPr>
        <w:t>12</w:t>
      </w:r>
      <w:r w:rsidRPr="009F4ACA">
        <w:rPr>
          <w:rFonts w:eastAsia="標楷體"/>
          <w:lang w:eastAsia="zh-TW"/>
        </w:rPr>
        <w:t>日起</w:t>
      </w:r>
      <w:r w:rsidRPr="009F4ACA">
        <w:rPr>
          <w:rFonts w:eastAsia="標楷體"/>
          <w:lang w:eastAsia="zh-TW"/>
        </w:rPr>
        <w:t>(</w:t>
      </w:r>
      <w:r w:rsidRPr="009F4ACA">
        <w:rPr>
          <w:rFonts w:eastAsia="標楷體"/>
          <w:lang w:eastAsia="zh-TW"/>
        </w:rPr>
        <w:t>含</w:t>
      </w:r>
      <w:r w:rsidRPr="009F4ACA">
        <w:rPr>
          <w:rFonts w:eastAsia="標楷體"/>
          <w:lang w:eastAsia="zh-TW"/>
        </w:rPr>
        <w:t>)</w:t>
      </w:r>
      <w:r w:rsidRPr="009F4ACA">
        <w:rPr>
          <w:rFonts w:eastAsia="標楷體"/>
          <w:lang w:eastAsia="zh-TW"/>
        </w:rPr>
        <w:t>，則不予退費。</w:t>
      </w:r>
    </w:p>
    <w:p w:rsidR="009F4ACA" w:rsidRPr="009F4ACA" w:rsidRDefault="009F4ACA" w:rsidP="009F4ACA">
      <w:pPr>
        <w:spacing w:line="320" w:lineRule="exact"/>
        <w:ind w:leftChars="178" w:left="661" w:hangingChars="117" w:hanging="234"/>
        <w:jc w:val="both"/>
        <w:rPr>
          <w:rFonts w:eastAsia="標楷體"/>
          <w:lang w:eastAsia="zh-TW"/>
        </w:rPr>
      </w:pPr>
      <w:r w:rsidRPr="009F4ACA">
        <w:rPr>
          <w:rFonts w:eastAsia="標楷體"/>
          <w:sz w:val="20"/>
          <w:szCs w:val="20"/>
          <w:lang w:eastAsia="zh-TW"/>
        </w:rPr>
        <w:t>2.</w:t>
      </w:r>
      <w:r w:rsidRPr="009F4ACA">
        <w:rPr>
          <w:rFonts w:eastAsia="標楷體"/>
          <w:lang w:eastAsia="zh-TW"/>
        </w:rPr>
        <w:t xml:space="preserve"> </w:t>
      </w:r>
      <w:r w:rsidRPr="009F4ACA">
        <w:rPr>
          <w:rFonts w:eastAsia="標楷體"/>
          <w:lang w:eastAsia="zh-TW"/>
        </w:rPr>
        <w:t>課程前置作業已支出之費用，須由學員負擔。</w:t>
      </w:r>
    </w:p>
    <w:p w:rsidR="004C54BA" w:rsidRDefault="004C54BA" w:rsidP="00C81A9F">
      <w:pPr>
        <w:spacing w:line="320" w:lineRule="exact"/>
        <w:jc w:val="both"/>
        <w:rPr>
          <w:rFonts w:eastAsia="標楷體"/>
          <w:u w:val="single"/>
        </w:rPr>
      </w:pPr>
    </w:p>
    <w:p w:rsidR="009F4ACA" w:rsidRPr="004C54BA" w:rsidRDefault="009F4ACA" w:rsidP="00C81A9F">
      <w:pPr>
        <w:spacing w:line="320" w:lineRule="exact"/>
        <w:jc w:val="both"/>
        <w:rPr>
          <w:rFonts w:eastAsia="標楷體"/>
          <w:u w:val="single"/>
        </w:rPr>
      </w:pPr>
      <w:r w:rsidRPr="004C54BA">
        <w:rPr>
          <w:rFonts w:eastAsia="標楷體"/>
          <w:u w:val="single"/>
        </w:rPr>
        <w:t>其他注意事項</w:t>
      </w:r>
      <w:r w:rsidR="004C54BA">
        <w:rPr>
          <w:rFonts w:eastAsia="標楷體" w:hint="eastAsia"/>
          <w:u w:val="single"/>
          <w:lang w:eastAsia="zh-TW"/>
        </w:rPr>
        <w:t xml:space="preserve"> </w:t>
      </w:r>
    </w:p>
    <w:p w:rsidR="009F4ACA" w:rsidRPr="009F4ACA" w:rsidRDefault="009F4ACA" w:rsidP="009F4ACA">
      <w:pPr>
        <w:pStyle w:val="a9"/>
        <w:numPr>
          <w:ilvl w:val="0"/>
          <w:numId w:val="3"/>
        </w:numPr>
        <w:spacing w:line="320" w:lineRule="exact"/>
        <w:ind w:leftChars="0"/>
        <w:jc w:val="both"/>
        <w:rPr>
          <w:rFonts w:ascii="Times New Roman" w:eastAsia="標楷體" w:hAnsi="Times New Roman" w:cs="Times New Roman"/>
          <w:lang w:val="en-US"/>
        </w:rPr>
      </w:pPr>
      <w:r w:rsidRPr="009F4ACA">
        <w:rPr>
          <w:rFonts w:ascii="Times New Roman" w:eastAsia="標楷體" w:hAnsi="Times New Roman" w:cs="Times New Roman"/>
          <w:lang w:val="en-US"/>
        </w:rPr>
        <w:t>主辦單位視情況需要，保留更改課程內容權利。</w:t>
      </w:r>
    </w:p>
    <w:p w:rsidR="0014783D" w:rsidRPr="009F4ACA" w:rsidRDefault="009F4ACA" w:rsidP="009F4ACA">
      <w:pPr>
        <w:tabs>
          <w:tab w:val="left" w:pos="0"/>
          <w:tab w:val="left" w:pos="1800"/>
          <w:tab w:val="right" w:pos="8640"/>
          <w:tab w:val="left" w:pos="9000"/>
        </w:tabs>
        <w:ind w:left="2160" w:right="-360" w:hanging="2160"/>
        <w:rPr>
          <w:rFonts w:eastAsia="標楷體"/>
          <w:lang w:eastAsia="zh-TW"/>
        </w:rPr>
      </w:pPr>
      <w:r w:rsidRPr="009F4ACA">
        <w:rPr>
          <w:rFonts w:eastAsia="標楷體"/>
          <w:lang w:eastAsia="zh-TW"/>
        </w:rPr>
        <w:t>其他疑問，請電洽</w:t>
      </w:r>
      <w:bookmarkStart w:id="0" w:name="_GoBack"/>
      <w:bookmarkEnd w:id="0"/>
      <w:r w:rsidRPr="009F4ACA">
        <w:rPr>
          <w:rFonts w:eastAsia="標楷體"/>
          <w:lang w:eastAsia="zh-TW"/>
        </w:rPr>
        <w:t>02-3366-80</w:t>
      </w:r>
      <w:r w:rsidR="009F3680">
        <w:rPr>
          <w:rFonts w:eastAsia="標楷體" w:hint="eastAsia"/>
          <w:lang w:eastAsia="zh-TW"/>
        </w:rPr>
        <w:t>77</w:t>
      </w:r>
      <w:r w:rsidR="009F3680">
        <w:rPr>
          <w:rFonts w:eastAsia="標楷體" w:hint="eastAsia"/>
          <w:lang w:eastAsia="zh-TW"/>
        </w:rPr>
        <w:t>徐瑜君</w:t>
      </w:r>
      <w:r w:rsidRPr="009F4ACA">
        <w:rPr>
          <w:rFonts w:eastAsia="標楷體"/>
          <w:lang w:eastAsia="zh-TW"/>
        </w:rPr>
        <w:t>，謝謝。</w:t>
      </w:r>
    </w:p>
    <w:p w:rsidR="003F6EBD" w:rsidRDefault="003F6EBD">
      <w:pPr>
        <w:rPr>
          <w:lang w:eastAsia="zh-TW"/>
        </w:rPr>
      </w:pPr>
    </w:p>
    <w:sectPr w:rsidR="003F6EBD" w:rsidSect="0019187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342" w:rsidRDefault="00E86342" w:rsidP="009F4ACA">
      <w:r>
        <w:separator/>
      </w:r>
    </w:p>
  </w:endnote>
  <w:endnote w:type="continuationSeparator" w:id="0">
    <w:p w:rsidR="00E86342" w:rsidRDefault="00E86342" w:rsidP="009F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New MingLiu">
    <w:altName w:val="SimSun"/>
    <w:panose1 w:val="00000000000000000000"/>
    <w:charset w:val="88"/>
    <w:family w:val="modern"/>
    <w:notTrueType/>
    <w:pitch w:val="default"/>
    <w:sig w:usb0="00000001" w:usb1="08080000" w:usb2="00000010" w:usb3="00000000" w:csb0="00100000"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342" w:rsidRDefault="00E86342" w:rsidP="009F4ACA">
      <w:r>
        <w:separator/>
      </w:r>
    </w:p>
  </w:footnote>
  <w:footnote w:type="continuationSeparator" w:id="0">
    <w:p w:rsidR="00E86342" w:rsidRDefault="00E86342" w:rsidP="009F4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F0431"/>
    <w:multiLevelType w:val="hybridMultilevel"/>
    <w:tmpl w:val="EF6CCA36"/>
    <w:lvl w:ilvl="0" w:tplc="F8E0309C">
      <w:start w:val="1"/>
      <w:numFmt w:val="decimal"/>
      <w:lvlText w:val="%1."/>
      <w:lvlJc w:val="left"/>
      <w:pPr>
        <w:ind w:left="786" w:hanging="360"/>
      </w:pPr>
      <w:rPr>
        <w:rFonts w:hint="default"/>
        <w:sz w:val="20"/>
        <w:szCs w:val="2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39E12D24"/>
    <w:multiLevelType w:val="hybridMultilevel"/>
    <w:tmpl w:val="D05277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87F4AEF"/>
    <w:multiLevelType w:val="hybridMultilevel"/>
    <w:tmpl w:val="E8BC20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A861EB3"/>
    <w:multiLevelType w:val="hybridMultilevel"/>
    <w:tmpl w:val="DC9E23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3D"/>
    <w:rsid w:val="00034E37"/>
    <w:rsid w:val="00065375"/>
    <w:rsid w:val="00074979"/>
    <w:rsid w:val="0014783D"/>
    <w:rsid w:val="00191870"/>
    <w:rsid w:val="001C4CC1"/>
    <w:rsid w:val="001F1144"/>
    <w:rsid w:val="0022568E"/>
    <w:rsid w:val="0028574C"/>
    <w:rsid w:val="002F5960"/>
    <w:rsid w:val="00303525"/>
    <w:rsid w:val="00367276"/>
    <w:rsid w:val="003772BA"/>
    <w:rsid w:val="003A19B9"/>
    <w:rsid w:val="003C4A64"/>
    <w:rsid w:val="003F6EBD"/>
    <w:rsid w:val="004A77FB"/>
    <w:rsid w:val="004C54BA"/>
    <w:rsid w:val="00572F07"/>
    <w:rsid w:val="00637C99"/>
    <w:rsid w:val="006E7882"/>
    <w:rsid w:val="00744366"/>
    <w:rsid w:val="007557FE"/>
    <w:rsid w:val="007729BC"/>
    <w:rsid w:val="008A0259"/>
    <w:rsid w:val="00915EFD"/>
    <w:rsid w:val="009F3680"/>
    <w:rsid w:val="009F4ACA"/>
    <w:rsid w:val="00A97B80"/>
    <w:rsid w:val="00AF7774"/>
    <w:rsid w:val="00B130B8"/>
    <w:rsid w:val="00B15E1F"/>
    <w:rsid w:val="00BA2085"/>
    <w:rsid w:val="00C13258"/>
    <w:rsid w:val="00C159B5"/>
    <w:rsid w:val="00C67EE7"/>
    <w:rsid w:val="00C70F8C"/>
    <w:rsid w:val="00C81A9F"/>
    <w:rsid w:val="00C846BD"/>
    <w:rsid w:val="00C9132A"/>
    <w:rsid w:val="00D03D9C"/>
    <w:rsid w:val="00D674B4"/>
    <w:rsid w:val="00DA686A"/>
    <w:rsid w:val="00E42BD8"/>
    <w:rsid w:val="00E86342"/>
    <w:rsid w:val="00E96CEA"/>
    <w:rsid w:val="00F260C9"/>
    <w:rsid w:val="00F625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714104-4F08-47D9-94D8-EC07D94A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CEA"/>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vel1">
    <w:name w:val="Level 1"/>
    <w:basedOn w:val="a"/>
    <w:rsid w:val="0014783D"/>
    <w:pPr>
      <w:widowControl w:val="0"/>
      <w:autoSpaceDE w:val="0"/>
      <w:autoSpaceDN w:val="0"/>
      <w:adjustRightInd w:val="0"/>
      <w:ind w:left="1440" w:hanging="720"/>
    </w:pPr>
  </w:style>
  <w:style w:type="paragraph" w:styleId="Web">
    <w:name w:val="Normal (Web)"/>
    <w:basedOn w:val="a"/>
    <w:rsid w:val="0014783D"/>
    <w:pPr>
      <w:spacing w:before="100" w:beforeAutospacing="1" w:after="100" w:afterAutospacing="1"/>
    </w:pPr>
    <w:rPr>
      <w:rFonts w:ascii="Verdana" w:hAnsi="Verdana"/>
      <w:sz w:val="18"/>
      <w:szCs w:val="18"/>
    </w:rPr>
  </w:style>
  <w:style w:type="character" w:styleId="a3">
    <w:name w:val="Strong"/>
    <w:basedOn w:val="a0"/>
    <w:qFormat/>
    <w:rsid w:val="0014783D"/>
    <w:rPr>
      <w:b/>
      <w:bCs/>
    </w:rPr>
  </w:style>
  <w:style w:type="character" w:styleId="a4">
    <w:name w:val="Emphasis"/>
    <w:basedOn w:val="a0"/>
    <w:qFormat/>
    <w:rsid w:val="0014783D"/>
    <w:rPr>
      <w:i/>
      <w:iCs/>
    </w:rPr>
  </w:style>
  <w:style w:type="character" w:customStyle="1" w:styleId="ptext-2">
    <w:name w:val="ptext-2"/>
    <w:basedOn w:val="a0"/>
    <w:rsid w:val="0014783D"/>
    <w:rPr>
      <w:b w:val="0"/>
      <w:bCs w:val="0"/>
      <w:sz w:val="20"/>
      <w:szCs w:val="20"/>
    </w:rPr>
  </w:style>
  <w:style w:type="paragraph" w:styleId="a5">
    <w:name w:val="header"/>
    <w:basedOn w:val="a"/>
    <w:link w:val="a6"/>
    <w:uiPriority w:val="99"/>
    <w:unhideWhenUsed/>
    <w:rsid w:val="009F4ACA"/>
    <w:pPr>
      <w:tabs>
        <w:tab w:val="center" w:pos="4153"/>
        <w:tab w:val="right" w:pos="8306"/>
      </w:tabs>
      <w:snapToGrid w:val="0"/>
    </w:pPr>
    <w:rPr>
      <w:sz w:val="20"/>
      <w:szCs w:val="20"/>
    </w:rPr>
  </w:style>
  <w:style w:type="character" w:customStyle="1" w:styleId="a6">
    <w:name w:val="頁首 字元"/>
    <w:basedOn w:val="a0"/>
    <w:link w:val="a5"/>
    <w:uiPriority w:val="99"/>
    <w:rsid w:val="009F4ACA"/>
    <w:rPr>
      <w:rFonts w:ascii="Times New Roman" w:eastAsia="Times New Roman" w:hAnsi="Times New Roman" w:cs="Times New Roman"/>
      <w:sz w:val="20"/>
      <w:szCs w:val="20"/>
    </w:rPr>
  </w:style>
  <w:style w:type="paragraph" w:styleId="a7">
    <w:name w:val="footer"/>
    <w:basedOn w:val="a"/>
    <w:link w:val="a8"/>
    <w:uiPriority w:val="99"/>
    <w:unhideWhenUsed/>
    <w:rsid w:val="009F4ACA"/>
    <w:pPr>
      <w:tabs>
        <w:tab w:val="center" w:pos="4153"/>
        <w:tab w:val="right" w:pos="8306"/>
      </w:tabs>
      <w:snapToGrid w:val="0"/>
    </w:pPr>
    <w:rPr>
      <w:sz w:val="20"/>
      <w:szCs w:val="20"/>
    </w:rPr>
  </w:style>
  <w:style w:type="character" w:customStyle="1" w:styleId="a8">
    <w:name w:val="頁尾 字元"/>
    <w:basedOn w:val="a0"/>
    <w:link w:val="a7"/>
    <w:uiPriority w:val="99"/>
    <w:rsid w:val="009F4ACA"/>
    <w:rPr>
      <w:rFonts w:ascii="Times New Roman" w:eastAsia="Times New Roman" w:hAnsi="Times New Roman" w:cs="Times New Roman"/>
      <w:sz w:val="20"/>
      <w:szCs w:val="20"/>
    </w:rPr>
  </w:style>
  <w:style w:type="paragraph" w:styleId="a9">
    <w:name w:val="List Paragraph"/>
    <w:basedOn w:val="a"/>
    <w:uiPriority w:val="34"/>
    <w:qFormat/>
    <w:rsid w:val="009F4ACA"/>
    <w:pPr>
      <w:widowControl w:val="0"/>
      <w:ind w:leftChars="200" w:left="480"/>
    </w:pPr>
    <w:rPr>
      <w:rFonts w:asciiTheme="minorHAnsi" w:eastAsiaTheme="minorEastAsia" w:hAnsiTheme="minorHAnsi" w:cstheme="minorBidi"/>
      <w:kern w:val="2"/>
      <w:szCs w:val="22"/>
      <w:lang w:val="en-AU" w:eastAsia="zh-TW"/>
    </w:rPr>
  </w:style>
  <w:style w:type="character" w:styleId="aa">
    <w:name w:val="Hyperlink"/>
    <w:basedOn w:val="a0"/>
    <w:uiPriority w:val="99"/>
    <w:unhideWhenUsed/>
    <w:rsid w:val="00C81A9F"/>
    <w:rPr>
      <w:color w:val="0000FF" w:themeColor="hyperlink"/>
      <w:u w:val="single"/>
    </w:rPr>
  </w:style>
  <w:style w:type="table" w:styleId="ab">
    <w:name w:val="Table Grid"/>
    <w:basedOn w:val="a1"/>
    <w:uiPriority w:val="59"/>
    <w:rsid w:val="009F3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9845">
      <w:bodyDiv w:val="1"/>
      <w:marLeft w:val="0"/>
      <w:marRight w:val="0"/>
      <w:marTop w:val="0"/>
      <w:marBottom w:val="0"/>
      <w:divBdr>
        <w:top w:val="none" w:sz="0" w:space="0" w:color="auto"/>
        <w:left w:val="none" w:sz="0" w:space="0" w:color="auto"/>
        <w:bottom w:val="none" w:sz="0" w:space="0" w:color="auto"/>
        <w:right w:val="none" w:sz="0" w:space="0" w:color="auto"/>
      </w:divBdr>
    </w:div>
    <w:div w:id="178549647">
      <w:bodyDiv w:val="1"/>
      <w:marLeft w:val="0"/>
      <w:marRight w:val="0"/>
      <w:marTop w:val="0"/>
      <w:marBottom w:val="0"/>
      <w:divBdr>
        <w:top w:val="none" w:sz="0" w:space="0" w:color="auto"/>
        <w:left w:val="none" w:sz="0" w:space="0" w:color="auto"/>
        <w:bottom w:val="none" w:sz="0" w:space="0" w:color="auto"/>
        <w:right w:val="none" w:sz="0" w:space="0" w:color="auto"/>
      </w:divBdr>
    </w:div>
    <w:div w:id="1353603714">
      <w:bodyDiv w:val="1"/>
      <w:marLeft w:val="0"/>
      <w:marRight w:val="0"/>
      <w:marTop w:val="0"/>
      <w:marBottom w:val="0"/>
      <w:divBdr>
        <w:top w:val="none" w:sz="0" w:space="0" w:color="auto"/>
        <w:left w:val="none" w:sz="0" w:space="0" w:color="auto"/>
        <w:bottom w:val="none" w:sz="0" w:space="0" w:color="auto"/>
        <w:right w:val="none" w:sz="0" w:space="0" w:color="auto"/>
      </w:divBdr>
    </w:div>
    <w:div w:id="1460411790">
      <w:bodyDiv w:val="1"/>
      <w:marLeft w:val="0"/>
      <w:marRight w:val="0"/>
      <w:marTop w:val="0"/>
      <w:marBottom w:val="0"/>
      <w:divBdr>
        <w:top w:val="none" w:sz="0" w:space="0" w:color="auto"/>
        <w:left w:val="none" w:sz="0" w:space="0" w:color="auto"/>
        <w:bottom w:val="none" w:sz="0" w:space="0" w:color="auto"/>
        <w:right w:val="none" w:sz="0" w:space="0" w:color="auto"/>
      </w:divBdr>
    </w:div>
    <w:div w:id="21082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OMIH</cp:lastModifiedBy>
  <cp:revision>3</cp:revision>
  <dcterms:created xsi:type="dcterms:W3CDTF">2019-07-22T04:04:00Z</dcterms:created>
  <dcterms:modified xsi:type="dcterms:W3CDTF">2019-07-22T04:07:00Z</dcterms:modified>
</cp:coreProperties>
</file>