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A1" w:rsidRPr="008442B8" w:rsidRDefault="008442B8" w:rsidP="008442B8">
      <w:pPr>
        <w:widowControl/>
        <w:rPr>
          <w:rFonts w:ascii="細明體" w:eastAsia="細明體" w:hAnsi="細明體" w:cs="Arial" w:hint="eastAsia"/>
          <w:b/>
          <w:kern w:val="0"/>
          <w:sz w:val="28"/>
          <w:szCs w:val="28"/>
        </w:rPr>
      </w:pPr>
      <w:bookmarkStart w:id="0" w:name="_GoBack"/>
      <w:proofErr w:type="gramStart"/>
      <w:r w:rsidRPr="008442B8">
        <w:rPr>
          <w:rFonts w:ascii="細明體" w:eastAsia="細明體" w:hAnsi="細明體" w:cs="Arial" w:hint="eastAsia"/>
          <w:b/>
          <w:kern w:val="0"/>
          <w:sz w:val="28"/>
          <w:szCs w:val="28"/>
        </w:rPr>
        <w:t>流預生統</w:t>
      </w:r>
      <w:proofErr w:type="gramEnd"/>
      <w:r w:rsidRPr="008442B8">
        <w:rPr>
          <w:rFonts w:ascii="細明體" w:eastAsia="細明體" w:hAnsi="細明體" w:cs="Arial" w:hint="eastAsia"/>
          <w:b/>
          <w:kern w:val="0"/>
          <w:sz w:val="28"/>
          <w:szCs w:val="28"/>
        </w:rPr>
        <w:t>組</w:t>
      </w:r>
    </w:p>
    <w:tbl>
      <w:tblPr>
        <w:tblW w:w="8088" w:type="dxa"/>
        <w:tblCellMar>
          <w:left w:w="28" w:type="dxa"/>
          <w:right w:w="28" w:type="dxa"/>
        </w:tblCellMar>
        <w:tblLook w:val="04A0" w:firstRow="1" w:lastRow="0" w:firstColumn="1" w:lastColumn="0" w:noHBand="0" w:noVBand="1"/>
      </w:tblPr>
      <w:tblGrid>
        <w:gridCol w:w="780"/>
        <w:gridCol w:w="7308"/>
      </w:tblGrid>
      <w:tr w:rsidR="008442B8" w:rsidRPr="008442B8" w:rsidTr="008442B8">
        <w:trPr>
          <w:trHeight w:val="340"/>
        </w:trPr>
        <w:tc>
          <w:tcPr>
            <w:tcW w:w="780" w:type="dxa"/>
            <w:tcBorders>
              <w:top w:val="nil"/>
              <w:left w:val="nil"/>
              <w:bottom w:val="nil"/>
              <w:right w:val="nil"/>
            </w:tcBorders>
            <w:shd w:val="clear" w:color="auto" w:fill="auto"/>
            <w:noWrap/>
            <w:hideMark/>
          </w:tcPr>
          <w:bookmarkEnd w:id="0"/>
          <w:p w:rsidR="008442B8" w:rsidRPr="008442B8" w:rsidRDefault="008442B8" w:rsidP="008442B8">
            <w:pPr>
              <w:widowControl/>
              <w:jc w:val="center"/>
              <w:rPr>
                <w:rFonts w:ascii="新細明體" w:eastAsia="新細明體" w:hAnsi="新細明體" w:cs="Arial"/>
                <w:kern w:val="0"/>
                <w:szCs w:val="24"/>
              </w:rPr>
            </w:pPr>
            <w:r w:rsidRPr="008442B8">
              <w:rPr>
                <w:rFonts w:ascii="新細明體" w:eastAsia="新細明體" w:hAnsi="新細明體" w:cs="Arial" w:hint="eastAsia"/>
                <w:kern w:val="0"/>
                <w:szCs w:val="24"/>
              </w:rPr>
              <w:t>編號</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中文題目</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台灣中部 4 歲兒童無機</w:t>
            </w:r>
            <w:proofErr w:type="gramStart"/>
            <w:r w:rsidRPr="008442B8">
              <w:rPr>
                <w:rFonts w:ascii="新細明體" w:eastAsia="新細明體" w:hAnsi="新細明體" w:cs="Arial" w:hint="eastAsia"/>
                <w:kern w:val="0"/>
                <w:szCs w:val="24"/>
              </w:rPr>
              <w:t>砷</w:t>
            </w:r>
            <w:proofErr w:type="gramEnd"/>
            <w:r w:rsidRPr="008442B8">
              <w:rPr>
                <w:rFonts w:ascii="新細明體" w:eastAsia="新細明體" w:hAnsi="新細明體" w:cs="Arial" w:hint="eastAsia"/>
                <w:kern w:val="0"/>
                <w:szCs w:val="24"/>
              </w:rPr>
              <w:t>暴露、腸道微生物與功能路徑</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台灣心肌病變與續發之身心疾患：長期群體追蹤研究</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以兩階段翻譯發展中文版簡要成癮查核表：在接受治療的成癮病患之評估者</w:t>
            </w:r>
            <w:proofErr w:type="gramStart"/>
            <w:r w:rsidRPr="008442B8">
              <w:rPr>
                <w:rFonts w:ascii="新細明體" w:eastAsia="新細明體" w:hAnsi="新細明體" w:cs="Arial" w:hint="eastAsia"/>
                <w:kern w:val="0"/>
                <w:szCs w:val="24"/>
              </w:rPr>
              <w:t>間與再測信</w:t>
            </w:r>
            <w:proofErr w:type="gramEnd"/>
            <w:r w:rsidRPr="008442B8">
              <w:rPr>
                <w:rFonts w:ascii="新細明體" w:eastAsia="新細明體" w:hAnsi="新細明體" w:cs="Arial" w:hint="eastAsia"/>
                <w:kern w:val="0"/>
                <w:szCs w:val="24"/>
              </w:rPr>
              <w:t>度</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不同維生素D濃度切點模型探討台灣孕婦血清維生素D缺乏之可能影響因子</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proofErr w:type="gramStart"/>
            <w:r w:rsidRPr="008442B8">
              <w:rPr>
                <w:rFonts w:ascii="新細明體" w:eastAsia="新細明體" w:hAnsi="新細明體" w:cs="Arial" w:hint="eastAsia"/>
                <w:kern w:val="0"/>
                <w:szCs w:val="24"/>
              </w:rPr>
              <w:t>血脂與空腹</w:t>
            </w:r>
            <w:proofErr w:type="gramEnd"/>
            <w:r w:rsidRPr="008442B8">
              <w:rPr>
                <w:rFonts w:ascii="新細明體" w:eastAsia="新細明體" w:hAnsi="新細明體" w:cs="Arial" w:hint="eastAsia"/>
                <w:kern w:val="0"/>
                <w:szCs w:val="24"/>
              </w:rPr>
              <w:t>血糖、糖化血色素及</w:t>
            </w:r>
            <w:proofErr w:type="gramStart"/>
            <w:r w:rsidRPr="008442B8">
              <w:rPr>
                <w:rFonts w:ascii="新細明體" w:eastAsia="新細明體" w:hAnsi="新細明體" w:cs="Arial" w:hint="eastAsia"/>
                <w:kern w:val="0"/>
                <w:szCs w:val="24"/>
              </w:rPr>
              <w:t>糖尿病間的相關性</w:t>
            </w:r>
            <w:proofErr w:type="gramEnd"/>
            <w:r w:rsidRPr="008442B8">
              <w:rPr>
                <w:rFonts w:ascii="新細明體" w:eastAsia="新細明體" w:hAnsi="新細明體" w:cs="Arial" w:hint="eastAsia"/>
                <w:kern w:val="0"/>
                <w:szCs w:val="24"/>
              </w:rPr>
              <w:t>：雙樣本孟德爾隨機分配研究</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臺灣地區個人飲食口味偏好與肥胖之相關性探討</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7</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評估RUCAM電子病歷演算法尋找藥物導致肝傷害個案準確度</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8</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COVID-19</w:t>
            </w:r>
            <w:proofErr w:type="gramStart"/>
            <w:r w:rsidRPr="008442B8">
              <w:rPr>
                <w:rFonts w:ascii="新細明體" w:eastAsia="新細明體" w:hAnsi="新細明體" w:cs="Arial" w:hint="eastAsia"/>
                <w:kern w:val="0"/>
                <w:szCs w:val="24"/>
              </w:rPr>
              <w:t>疫</w:t>
            </w:r>
            <w:proofErr w:type="gramEnd"/>
            <w:r w:rsidRPr="008442B8">
              <w:rPr>
                <w:rFonts w:ascii="新細明體" w:eastAsia="新細明體" w:hAnsi="新細明體" w:cs="Arial" w:hint="eastAsia"/>
                <w:kern w:val="0"/>
                <w:szCs w:val="24"/>
              </w:rPr>
              <w:t xml:space="preserve">情中的健康不平等 </w:t>
            </w:r>
            <w:proofErr w:type="gramStart"/>
            <w:r w:rsidRPr="008442B8">
              <w:rPr>
                <w:rFonts w:ascii="新細明體" w:eastAsia="新細明體" w:hAnsi="新細明體" w:cs="Arial" w:hint="eastAsia"/>
                <w:kern w:val="0"/>
                <w:szCs w:val="24"/>
              </w:rPr>
              <w:t>—</w:t>
            </w:r>
            <w:proofErr w:type="gramEnd"/>
            <w:r w:rsidRPr="008442B8">
              <w:rPr>
                <w:rFonts w:ascii="新細明體" w:eastAsia="新細明體" w:hAnsi="新細明體" w:cs="Arial" w:hint="eastAsia"/>
                <w:kern w:val="0"/>
                <w:szCs w:val="24"/>
              </w:rPr>
              <w:t>以Pearson Correlation Coefficients探討失業率、貧窮與COVID-19之關聯</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9</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早發性乳癌與血液以及尿液中代謝物的相關</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10</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臺灣青少年因焦慮失眠的盛行率及危險因子：GSHS 2012-2016</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11</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運用貝氏模型探討宗教信仰與區域</w:t>
            </w:r>
            <w:proofErr w:type="gramStart"/>
            <w:r w:rsidRPr="008442B8">
              <w:rPr>
                <w:rFonts w:ascii="新細明體" w:eastAsia="新細明體" w:hAnsi="新細明體" w:cs="Arial" w:hint="eastAsia"/>
                <w:kern w:val="0"/>
                <w:szCs w:val="24"/>
              </w:rPr>
              <w:t>平均餘命之</w:t>
            </w:r>
            <w:proofErr w:type="gramEnd"/>
            <w:r w:rsidRPr="008442B8">
              <w:rPr>
                <w:rFonts w:ascii="新細明體" w:eastAsia="新細明體" w:hAnsi="新細明體" w:cs="Arial" w:hint="eastAsia"/>
                <w:kern w:val="0"/>
                <w:szCs w:val="24"/>
              </w:rPr>
              <w:t>關聯</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從2014年至2018年臺灣民眾</w:t>
            </w:r>
            <w:proofErr w:type="gramStart"/>
            <w:r w:rsidRPr="008442B8">
              <w:rPr>
                <w:rFonts w:ascii="新細明體" w:eastAsia="新細明體" w:hAnsi="新細明體" w:cs="Arial" w:hint="eastAsia"/>
                <w:kern w:val="0"/>
                <w:szCs w:val="24"/>
              </w:rPr>
              <w:t>一</w:t>
            </w:r>
            <w:proofErr w:type="gramEnd"/>
            <w:r w:rsidRPr="008442B8">
              <w:rPr>
                <w:rFonts w:ascii="新細明體" w:eastAsia="新細明體" w:hAnsi="新細明體" w:cs="Arial" w:hint="eastAsia"/>
                <w:kern w:val="0"/>
                <w:szCs w:val="24"/>
              </w:rPr>
              <w:t>年內有服用鎮靜安眠藥經驗之趨勢：性別與年齡的影響</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13</w:t>
            </w:r>
          </w:p>
        </w:tc>
        <w:tc>
          <w:tcPr>
            <w:tcW w:w="7308" w:type="dxa"/>
            <w:tcBorders>
              <w:top w:val="nil"/>
              <w:left w:val="nil"/>
              <w:bottom w:val="nil"/>
              <w:right w:val="nil"/>
            </w:tcBorders>
            <w:shd w:val="clear" w:color="auto" w:fill="auto"/>
            <w:noWrap/>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2011-2019年台灣獨居老人長照服務費用概況及其與全因死亡率的關係</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14</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以巨量基因體資料探討慢性腎病基因與環境因子之交互作用</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產前空氣污染暴露與兒童發育之間的關聯-出生世代追蹤研究</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臺灣代謝症候群盛行率與三高疾病自知、服藥、控制率趨勢分析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17</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proofErr w:type="gramStart"/>
            <w:r w:rsidRPr="008442B8">
              <w:rPr>
                <w:rFonts w:ascii="新細明體" w:eastAsia="新細明體" w:hAnsi="新細明體" w:cs="Arial" w:hint="eastAsia"/>
                <w:kern w:val="0"/>
                <w:szCs w:val="24"/>
              </w:rPr>
              <w:t>採</w:t>
            </w:r>
            <w:proofErr w:type="gramEnd"/>
            <w:r w:rsidRPr="008442B8">
              <w:rPr>
                <w:rFonts w:ascii="新細明體" w:eastAsia="新細明體" w:hAnsi="新細明體" w:cs="Arial" w:hint="eastAsia"/>
                <w:kern w:val="0"/>
                <w:szCs w:val="24"/>
              </w:rPr>
              <w:t>清醒臥姿對於改善COVID-19病人血氧濃度之實證探討</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18</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proofErr w:type="gramStart"/>
            <w:r w:rsidRPr="008442B8">
              <w:rPr>
                <w:rFonts w:ascii="新細明體" w:eastAsia="新細明體" w:hAnsi="新細明體" w:cs="Arial" w:hint="eastAsia"/>
                <w:kern w:val="0"/>
                <w:szCs w:val="24"/>
              </w:rPr>
              <w:t>生酮飲食</w:t>
            </w:r>
            <w:proofErr w:type="gramEnd"/>
            <w:r w:rsidRPr="008442B8">
              <w:rPr>
                <w:rFonts w:ascii="新細明體" w:eastAsia="新細明體" w:hAnsi="新細明體" w:cs="Arial" w:hint="eastAsia"/>
                <w:kern w:val="0"/>
                <w:szCs w:val="24"/>
              </w:rPr>
              <w:t>對於血壓之控制：系統性回顧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19</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新興傳染病COVID-19對口腔癌篩檢服務之影響</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探討</w:t>
            </w:r>
            <w:proofErr w:type="gramStart"/>
            <w:r w:rsidRPr="008442B8">
              <w:rPr>
                <w:rFonts w:ascii="新細明體" w:eastAsia="新細明體" w:hAnsi="新細明體" w:cs="Arial" w:hint="eastAsia"/>
                <w:kern w:val="0"/>
                <w:szCs w:val="24"/>
              </w:rPr>
              <w:t>罹</w:t>
            </w:r>
            <w:proofErr w:type="gramEnd"/>
            <w:r w:rsidRPr="008442B8">
              <w:rPr>
                <w:rFonts w:ascii="新細明體" w:eastAsia="新細明體" w:hAnsi="新細明體" w:cs="Arial" w:hint="eastAsia"/>
                <w:kern w:val="0"/>
                <w:szCs w:val="24"/>
              </w:rPr>
              <w:t>患B型肝炎或C型肝炎與民眾疾病認知行為之相關因素影響</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21</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苗栗縣沿海地區居民就醫行為與</w:t>
            </w:r>
            <w:proofErr w:type="gramStart"/>
            <w:r w:rsidRPr="008442B8">
              <w:rPr>
                <w:rFonts w:ascii="新細明體" w:eastAsia="新細明體" w:hAnsi="新細明體" w:cs="Arial" w:hint="eastAsia"/>
                <w:kern w:val="0"/>
                <w:szCs w:val="24"/>
              </w:rPr>
              <w:t>罹</w:t>
            </w:r>
            <w:proofErr w:type="gramEnd"/>
            <w:r w:rsidRPr="008442B8">
              <w:rPr>
                <w:rFonts w:ascii="新細明體" w:eastAsia="新細明體" w:hAnsi="新細明體" w:cs="Arial" w:hint="eastAsia"/>
                <w:kern w:val="0"/>
                <w:szCs w:val="24"/>
              </w:rPr>
              <w:t>患肝炎之相關性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個人健康狀況和家族病史與發生肝炎相關因素之探討</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23</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生活習慣、APOE基因多形性和中醫體質與認知功能障礙的相關性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24</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基於雙重差分在面板數據上的因果中介效應分析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慢性阻塞性肺疾病患者的營養評估</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探討食品中縮水甘油脂肪酸酯及</w:t>
            </w:r>
            <w:proofErr w:type="gramStart"/>
            <w:r w:rsidRPr="008442B8">
              <w:rPr>
                <w:rFonts w:ascii="新細明體" w:eastAsia="新細明體" w:hAnsi="新細明體" w:cs="Arial" w:hint="eastAsia"/>
                <w:kern w:val="0"/>
                <w:szCs w:val="24"/>
              </w:rPr>
              <w:t>單氯丙二醇酯</w:t>
            </w:r>
            <w:proofErr w:type="gramEnd"/>
            <w:r w:rsidRPr="008442B8">
              <w:rPr>
                <w:rFonts w:ascii="新細明體" w:eastAsia="新細明體" w:hAnsi="新細明體" w:cs="Arial" w:hint="eastAsia"/>
                <w:kern w:val="0"/>
                <w:szCs w:val="24"/>
              </w:rPr>
              <w:t>生物暴露指標與腎臟功能之關係性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27</w:t>
            </w:r>
          </w:p>
        </w:tc>
        <w:tc>
          <w:tcPr>
            <w:tcW w:w="7308" w:type="dxa"/>
            <w:tcBorders>
              <w:top w:val="nil"/>
              <w:left w:val="nil"/>
              <w:bottom w:val="nil"/>
              <w:right w:val="nil"/>
            </w:tcBorders>
            <w:shd w:val="clear" w:color="auto" w:fill="auto"/>
            <w:noWrap/>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醫療人員COVID-19疫苗接種不良反應初探-以南部某區域醫院為例</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lastRenderedPageBreak/>
              <w:t>28</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檢視健檢資料對於</w:t>
            </w:r>
            <w:proofErr w:type="gramStart"/>
            <w:r w:rsidRPr="008442B8">
              <w:rPr>
                <w:rFonts w:ascii="新細明體" w:eastAsia="新細明體" w:hAnsi="新細明體" w:cs="Arial" w:hint="eastAsia"/>
                <w:kern w:val="0"/>
                <w:szCs w:val="24"/>
              </w:rPr>
              <w:t>周全性年長者</w:t>
            </w:r>
            <w:proofErr w:type="gramEnd"/>
            <w:r w:rsidRPr="008442B8">
              <w:rPr>
                <w:rFonts w:ascii="新細明體" w:eastAsia="新細明體" w:hAnsi="新細明體" w:cs="Arial" w:hint="eastAsia"/>
                <w:kern w:val="0"/>
                <w:szCs w:val="24"/>
              </w:rPr>
              <w:t>失智風險評估的適用性</w:t>
            </w:r>
            <w:proofErr w:type="gramStart"/>
            <w:r w:rsidRPr="008442B8">
              <w:rPr>
                <w:rFonts w:ascii="新細明體" w:eastAsia="新細明體" w:hAnsi="新細明體" w:cs="Arial" w:hint="eastAsia"/>
                <w:kern w:val="0"/>
                <w:szCs w:val="24"/>
              </w:rPr>
              <w:t>—</w:t>
            </w:r>
            <w:proofErr w:type="gramEnd"/>
            <w:r w:rsidRPr="008442B8">
              <w:rPr>
                <w:rFonts w:ascii="新細明體" w:eastAsia="新細明體" w:hAnsi="新細明體" w:cs="Arial" w:hint="eastAsia"/>
                <w:kern w:val="0"/>
                <w:szCs w:val="24"/>
              </w:rPr>
              <w:t>融合機器學習模型特徵萃取之優勢於多層次分析模型</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29</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日常接觸對心理健康影響之研究：台灣社會十五年橫斷資料分析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30</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全國性小學學童齲齒調查與介入成效-吐瓦魯經驗</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31</w:t>
            </w:r>
          </w:p>
        </w:tc>
        <w:tc>
          <w:tcPr>
            <w:tcW w:w="7308" w:type="dxa"/>
            <w:tcBorders>
              <w:top w:val="nil"/>
              <w:left w:val="nil"/>
              <w:bottom w:val="nil"/>
              <w:right w:val="nil"/>
            </w:tcBorders>
            <w:shd w:val="clear" w:color="auto" w:fill="auto"/>
            <w:noWrap/>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台東市及台灣其他六個大都市地區女性乳癌的發病率及死亡率風險</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醫療人員於COVID-19</w:t>
            </w:r>
            <w:proofErr w:type="gramStart"/>
            <w:r w:rsidRPr="008442B8">
              <w:rPr>
                <w:rFonts w:ascii="新細明體" w:eastAsia="新細明體" w:hAnsi="新細明體" w:cs="Arial" w:hint="eastAsia"/>
                <w:kern w:val="0"/>
                <w:szCs w:val="24"/>
              </w:rPr>
              <w:t>疫情下</w:t>
            </w:r>
            <w:proofErr w:type="gramEnd"/>
            <w:r w:rsidRPr="008442B8">
              <w:rPr>
                <w:rFonts w:ascii="新細明體" w:eastAsia="新細明體" w:hAnsi="新細明體" w:cs="Arial" w:hint="eastAsia"/>
                <w:kern w:val="0"/>
                <w:szCs w:val="24"/>
              </w:rPr>
              <w:t>之心理健康狀況比較分析-以南部某區域醫院為例</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33</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過去三十年台灣肺癌發生率平均年度百分比變化分析 (1996-2015)</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34</w:t>
            </w:r>
          </w:p>
        </w:tc>
        <w:tc>
          <w:tcPr>
            <w:tcW w:w="7308" w:type="dxa"/>
            <w:tcBorders>
              <w:top w:val="nil"/>
              <w:left w:val="nil"/>
              <w:bottom w:val="nil"/>
              <w:right w:val="nil"/>
            </w:tcBorders>
            <w:shd w:val="clear" w:color="auto" w:fill="auto"/>
            <w:noWrap/>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女性乳癌在台東市及台灣其他六個大都市地區的5年相對存活率比較</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2000-2015年臺灣男女性別肝癌終身風險之差異分析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2001年~2015年台灣女性乳癌的發病率和死亡率風險</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37</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台灣男性和女性平日就寢時間的社會人口學和行為預測因素</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38</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台東市及台灣其他六個大都市地區癌症死因比較分析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39</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過去二十年台灣婦女乳癌及婦科癌</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40</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台東市及台灣其他兩個大都市地區肝癌發病率風險</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41</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探討台灣</w:t>
            </w:r>
            <w:proofErr w:type="gramStart"/>
            <w:r w:rsidRPr="008442B8">
              <w:rPr>
                <w:rFonts w:ascii="新細明體" w:eastAsia="新細明體" w:hAnsi="新細明體" w:cs="Arial" w:hint="eastAsia"/>
                <w:kern w:val="0"/>
                <w:szCs w:val="24"/>
              </w:rPr>
              <w:t>不</w:t>
            </w:r>
            <w:proofErr w:type="gramEnd"/>
            <w:r w:rsidRPr="008442B8">
              <w:rPr>
                <w:rFonts w:ascii="新細明體" w:eastAsia="新細明體" w:hAnsi="新細明體" w:cs="Arial" w:hint="eastAsia"/>
                <w:kern w:val="0"/>
                <w:szCs w:val="24"/>
              </w:rPr>
              <w:t>同期別口腔癌病患有、無接受食道癌篩檢之相對效益</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子宮切除術與嚴重關節炎相關性研究：巢式病例對照研究</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43</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以台灣人體生物資料庫探討運動量與骨質疏鬆的相關性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44</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發酵茶和半</w:t>
            </w:r>
            <w:proofErr w:type="gramStart"/>
            <w:r w:rsidRPr="008442B8">
              <w:rPr>
                <w:rFonts w:ascii="新細明體" w:eastAsia="新細明體" w:hAnsi="新細明體" w:cs="Arial" w:hint="eastAsia"/>
                <w:kern w:val="0"/>
                <w:szCs w:val="24"/>
              </w:rPr>
              <w:t>發酵茶對骨質疏鬆症</w:t>
            </w:r>
            <w:proofErr w:type="gramEnd"/>
            <w:r w:rsidRPr="008442B8">
              <w:rPr>
                <w:rFonts w:ascii="新細明體" w:eastAsia="新細明體" w:hAnsi="新細明體" w:cs="Arial" w:hint="eastAsia"/>
                <w:kern w:val="0"/>
                <w:szCs w:val="24"/>
              </w:rPr>
              <w:t>的影響：台灣生物庫研究的結果</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骨質疏鬆症和喝茶類型因性別和年齡而異：台灣生物庫研究結果</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飲用非發酵茶可預防中國男性老年人骨質疏鬆症：台灣生物庫研究的結果</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47</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2016-2018醫學中心加護病房白色念珠菌之醫療照護相關感染探討</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48</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2016-2018醫學中心加護病房大腸桿菌之醫療照護相關感染探討</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49</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2016-2018醫學中心加護病房克</w:t>
            </w:r>
            <w:proofErr w:type="gramStart"/>
            <w:r w:rsidRPr="008442B8">
              <w:rPr>
                <w:rFonts w:ascii="新細明體" w:eastAsia="新細明體" w:hAnsi="新細明體" w:cs="Arial" w:hint="eastAsia"/>
                <w:kern w:val="0"/>
                <w:szCs w:val="24"/>
              </w:rPr>
              <w:t>雷伯氏肺炎</w:t>
            </w:r>
            <w:proofErr w:type="gramEnd"/>
            <w:r w:rsidRPr="008442B8">
              <w:rPr>
                <w:rFonts w:ascii="新細明體" w:eastAsia="新細明體" w:hAnsi="新細明體" w:cs="Arial" w:hint="eastAsia"/>
                <w:kern w:val="0"/>
                <w:szCs w:val="24"/>
              </w:rPr>
              <w:t>桿菌之醫療照護相關感染探討</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50</w:t>
            </w:r>
          </w:p>
        </w:tc>
        <w:tc>
          <w:tcPr>
            <w:tcW w:w="7308" w:type="dxa"/>
            <w:tcBorders>
              <w:top w:val="nil"/>
              <w:left w:val="nil"/>
              <w:bottom w:val="nil"/>
              <w:right w:val="nil"/>
            </w:tcBorders>
            <w:shd w:val="clear" w:color="auto" w:fill="auto"/>
            <w:noWrap/>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腎移植術後使用</w:t>
            </w:r>
            <w:proofErr w:type="spellStart"/>
            <w:r w:rsidRPr="008442B8">
              <w:rPr>
                <w:rFonts w:ascii="新細明體" w:eastAsia="新細明體" w:hAnsi="新細明體" w:cs="Arial" w:hint="eastAsia"/>
                <w:kern w:val="0"/>
                <w:szCs w:val="24"/>
              </w:rPr>
              <w:t>mTOR</w:t>
            </w:r>
            <w:proofErr w:type="spellEnd"/>
            <w:r w:rsidRPr="008442B8">
              <w:rPr>
                <w:rFonts w:ascii="新細明體" w:eastAsia="新細明體" w:hAnsi="新細明體" w:cs="Arial" w:hint="eastAsia"/>
                <w:kern w:val="0"/>
                <w:szCs w:val="24"/>
              </w:rPr>
              <w:t>免疫抑制劑與發生大腸直腸癌風險的相關性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51</w:t>
            </w:r>
          </w:p>
        </w:tc>
        <w:tc>
          <w:tcPr>
            <w:tcW w:w="7308" w:type="dxa"/>
            <w:tcBorders>
              <w:top w:val="nil"/>
              <w:left w:val="nil"/>
              <w:bottom w:val="nil"/>
              <w:right w:val="nil"/>
            </w:tcBorders>
            <w:shd w:val="clear" w:color="auto" w:fill="auto"/>
            <w:noWrap/>
            <w:vAlign w:val="bottom"/>
            <w:hideMark/>
          </w:tcPr>
          <w:p w:rsidR="008442B8" w:rsidRPr="008442B8" w:rsidRDefault="008442B8" w:rsidP="008442B8">
            <w:pPr>
              <w:widowControl/>
              <w:rPr>
                <w:rFonts w:ascii="新細明體" w:eastAsia="新細明體" w:hAnsi="新細明體" w:cs="Arial" w:hint="eastAsia"/>
                <w:kern w:val="0"/>
                <w:szCs w:val="24"/>
              </w:rPr>
            </w:pPr>
            <w:proofErr w:type="gramStart"/>
            <w:r w:rsidRPr="008442B8">
              <w:rPr>
                <w:rFonts w:ascii="新細明體" w:eastAsia="新細明體" w:hAnsi="新細明體" w:cs="Arial" w:hint="eastAsia"/>
                <w:kern w:val="0"/>
                <w:szCs w:val="24"/>
              </w:rPr>
              <w:t>濾藍光</w:t>
            </w:r>
            <w:proofErr w:type="gramEnd"/>
            <w:r w:rsidRPr="008442B8">
              <w:rPr>
                <w:rFonts w:ascii="新細明體" w:eastAsia="新細明體" w:hAnsi="新細明體" w:cs="Arial" w:hint="eastAsia"/>
                <w:kern w:val="0"/>
                <w:szCs w:val="24"/>
              </w:rPr>
              <w:t>型人工水晶體對老年性黃斑部病變之預防效果：全國世代研究</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COVID-19防疫期間政府經濟政策介入對自殺事件發生之探討-以</w:t>
            </w:r>
            <w:proofErr w:type="gramStart"/>
            <w:r w:rsidRPr="008442B8">
              <w:rPr>
                <w:rFonts w:ascii="新細明體" w:eastAsia="新細明體" w:hAnsi="新細明體" w:cs="Arial" w:hint="eastAsia"/>
                <w:kern w:val="0"/>
                <w:szCs w:val="24"/>
              </w:rPr>
              <w:t>臺</w:t>
            </w:r>
            <w:proofErr w:type="gramEnd"/>
            <w:r w:rsidRPr="008442B8">
              <w:rPr>
                <w:rFonts w:ascii="新細明體" w:eastAsia="新細明體" w:hAnsi="新細明體" w:cs="Arial" w:hint="eastAsia"/>
                <w:kern w:val="0"/>
                <w:szCs w:val="24"/>
              </w:rPr>
              <w:t>南市為例</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53</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探討肥胖多基因風險分數、肥胖表型與</w:t>
            </w:r>
            <w:proofErr w:type="gramStart"/>
            <w:r w:rsidRPr="008442B8">
              <w:rPr>
                <w:rFonts w:ascii="新細明體" w:eastAsia="新細明體" w:hAnsi="新細明體" w:cs="Arial" w:hint="eastAsia"/>
                <w:kern w:val="0"/>
                <w:szCs w:val="24"/>
              </w:rPr>
              <w:t>罹</w:t>
            </w:r>
            <w:proofErr w:type="gramEnd"/>
            <w:r w:rsidRPr="008442B8">
              <w:rPr>
                <w:rFonts w:ascii="新細明體" w:eastAsia="新細明體" w:hAnsi="新細明體" w:cs="Arial" w:hint="eastAsia"/>
                <w:kern w:val="0"/>
                <w:szCs w:val="24"/>
              </w:rPr>
              <w:t>患氣喘之關係</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54</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過敏性鼻炎與大腸癌相關性之探討</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應用健康信念模式探討大學生的流感疫苗知識、態度及行為</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影響漢民族身高之民族特定基因座</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57</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乳癌患者抽菸行為之死亡風險分析</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58</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proofErr w:type="gramStart"/>
            <w:r w:rsidRPr="008442B8">
              <w:rPr>
                <w:rFonts w:ascii="新細明體" w:eastAsia="新細明體" w:hAnsi="新細明體" w:cs="Arial" w:hint="eastAsia"/>
                <w:kern w:val="0"/>
                <w:szCs w:val="24"/>
              </w:rPr>
              <w:t>酒駕盛行</w:t>
            </w:r>
            <w:proofErr w:type="gramEnd"/>
            <w:r w:rsidRPr="008442B8">
              <w:rPr>
                <w:rFonts w:ascii="新細明體" w:eastAsia="新細明體" w:hAnsi="新細明體" w:cs="Arial" w:hint="eastAsia"/>
                <w:kern w:val="0"/>
                <w:szCs w:val="24"/>
              </w:rPr>
              <w:t>率與相關因子的性別差異： 台灣 2018 年全國物質使用調查結果</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59</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網路遊戲高頻玩家的社會人口學特徵、憂鬱症狀及物質使用： 2018年臺灣全國物質使用調查結果</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60</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驗證應用國際疾病分類編碼疾病分類碼在電子病歷系統定義疑似藥物導致肝傷害個案的方法</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61</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參與志工活動與認知下降之關係以及年齡層與性別之修飾作用:十二年之觀察研究</w:t>
            </w:r>
          </w:p>
        </w:tc>
      </w:tr>
      <w:tr w:rsidR="008442B8" w:rsidRPr="008442B8" w:rsidTr="008442B8">
        <w:trPr>
          <w:trHeight w:val="68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62</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塑化劑對乳癌患者其血漿中的代謝物濃度和臨床指標以及乳癌預後之影響</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63</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台灣口腔癌高風險個案兩年</w:t>
            </w:r>
            <w:proofErr w:type="gramStart"/>
            <w:r w:rsidRPr="008442B8">
              <w:rPr>
                <w:rFonts w:ascii="新細明體" w:eastAsia="新細明體" w:hAnsi="新細明體" w:cs="Arial" w:hint="eastAsia"/>
                <w:kern w:val="0"/>
                <w:szCs w:val="24"/>
              </w:rPr>
              <w:t>一</w:t>
            </w:r>
            <w:proofErr w:type="gramEnd"/>
            <w:r w:rsidRPr="008442B8">
              <w:rPr>
                <w:rFonts w:ascii="新細明體" w:eastAsia="新細明體" w:hAnsi="新細明體" w:cs="Arial" w:hint="eastAsia"/>
                <w:kern w:val="0"/>
                <w:szCs w:val="24"/>
              </w:rPr>
              <w:t>篩頻率之效益評估</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64</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台灣地區肥胖者之三高疾病歷程與醫療耗用分析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65</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臺灣毒蛇咬傷發生嚴重併發症之預測因子</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66</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proofErr w:type="gramStart"/>
            <w:r w:rsidRPr="008442B8">
              <w:rPr>
                <w:rFonts w:ascii="新細明體" w:eastAsia="新細明體" w:hAnsi="新細明體" w:cs="Arial" w:hint="eastAsia"/>
                <w:kern w:val="0"/>
                <w:szCs w:val="24"/>
              </w:rPr>
              <w:t>鄰苯</w:t>
            </w:r>
            <w:proofErr w:type="gramEnd"/>
            <w:r w:rsidRPr="008442B8">
              <w:rPr>
                <w:rFonts w:ascii="新細明體" w:eastAsia="新細明體" w:hAnsi="新細明體" w:cs="Arial" w:hint="eastAsia"/>
                <w:kern w:val="0"/>
                <w:szCs w:val="24"/>
              </w:rPr>
              <w:t>二甲</w:t>
            </w:r>
            <w:proofErr w:type="gramStart"/>
            <w:r w:rsidRPr="008442B8">
              <w:rPr>
                <w:rFonts w:ascii="新細明體" w:eastAsia="新細明體" w:hAnsi="新細明體" w:cs="Arial" w:hint="eastAsia"/>
                <w:kern w:val="0"/>
                <w:szCs w:val="24"/>
              </w:rPr>
              <w:t>酸酯類</w:t>
            </w:r>
            <w:proofErr w:type="gramEnd"/>
            <w:r w:rsidRPr="008442B8">
              <w:rPr>
                <w:rFonts w:ascii="新細明體" w:eastAsia="新細明體" w:hAnsi="新細明體" w:cs="Arial" w:hint="eastAsia"/>
                <w:kern w:val="0"/>
                <w:szCs w:val="24"/>
              </w:rPr>
              <w:t>經由甲狀腺素影響葡萄糖代謝之中介效應研究</w:t>
            </w:r>
          </w:p>
        </w:tc>
      </w:tr>
      <w:tr w:rsidR="008442B8" w:rsidRPr="008442B8" w:rsidTr="008442B8">
        <w:trPr>
          <w:trHeight w:val="340"/>
        </w:trPr>
        <w:tc>
          <w:tcPr>
            <w:tcW w:w="780" w:type="dxa"/>
            <w:tcBorders>
              <w:top w:val="nil"/>
              <w:left w:val="nil"/>
              <w:bottom w:val="nil"/>
              <w:right w:val="nil"/>
            </w:tcBorders>
            <w:shd w:val="clear" w:color="auto" w:fill="auto"/>
            <w:noWrap/>
            <w:hideMark/>
          </w:tcPr>
          <w:p w:rsidR="008442B8" w:rsidRPr="008442B8" w:rsidRDefault="008442B8" w:rsidP="008442B8">
            <w:pPr>
              <w:widowControl/>
              <w:jc w:val="center"/>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67</w:t>
            </w:r>
          </w:p>
        </w:tc>
        <w:tc>
          <w:tcPr>
            <w:tcW w:w="7308" w:type="dxa"/>
            <w:tcBorders>
              <w:top w:val="nil"/>
              <w:left w:val="nil"/>
              <w:bottom w:val="nil"/>
              <w:right w:val="nil"/>
            </w:tcBorders>
            <w:shd w:val="clear" w:color="auto" w:fill="auto"/>
            <w:vAlign w:val="bottom"/>
            <w:hideMark/>
          </w:tcPr>
          <w:p w:rsidR="008442B8" w:rsidRPr="008442B8" w:rsidRDefault="008442B8" w:rsidP="008442B8">
            <w:pPr>
              <w:widowControl/>
              <w:rPr>
                <w:rFonts w:ascii="新細明體" w:eastAsia="新細明體" w:hAnsi="新細明體" w:cs="Arial" w:hint="eastAsia"/>
                <w:kern w:val="0"/>
                <w:szCs w:val="24"/>
              </w:rPr>
            </w:pPr>
            <w:r w:rsidRPr="008442B8">
              <w:rPr>
                <w:rFonts w:ascii="新細明體" w:eastAsia="新細明體" w:hAnsi="新細明體" w:cs="Arial" w:hint="eastAsia"/>
                <w:kern w:val="0"/>
                <w:szCs w:val="24"/>
              </w:rPr>
              <w:t>探討基因危險分數與環境因子對於氣喘之交互作用</w:t>
            </w:r>
          </w:p>
        </w:tc>
      </w:tr>
    </w:tbl>
    <w:p w:rsidR="008442B8" w:rsidRPr="008442B8" w:rsidRDefault="008442B8">
      <w:pPr>
        <w:rPr>
          <w:rFonts w:hint="eastAsia"/>
        </w:rPr>
      </w:pPr>
    </w:p>
    <w:sectPr w:rsidR="008442B8" w:rsidRPr="008442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B8"/>
    <w:rsid w:val="008442B8"/>
    <w:rsid w:val="00C627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5DE2"/>
  <w15:chartTrackingRefBased/>
  <w15:docId w15:val="{15FC34A2-87CF-4EE3-A849-319CAFED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487">
      <w:bodyDiv w:val="1"/>
      <w:marLeft w:val="0"/>
      <w:marRight w:val="0"/>
      <w:marTop w:val="0"/>
      <w:marBottom w:val="0"/>
      <w:divBdr>
        <w:top w:val="none" w:sz="0" w:space="0" w:color="auto"/>
        <w:left w:val="none" w:sz="0" w:space="0" w:color="auto"/>
        <w:bottom w:val="none" w:sz="0" w:space="0" w:color="auto"/>
        <w:right w:val="none" w:sz="0" w:space="0" w:color="auto"/>
      </w:divBdr>
    </w:div>
    <w:div w:id="18778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tpha</dc:creator>
  <cp:keywords/>
  <dc:description/>
  <cp:lastModifiedBy>tpha</cp:lastModifiedBy>
  <cp:revision>1</cp:revision>
  <dcterms:created xsi:type="dcterms:W3CDTF">2021-09-01T08:47:00Z</dcterms:created>
  <dcterms:modified xsi:type="dcterms:W3CDTF">2021-09-01T08:49:00Z</dcterms:modified>
</cp:coreProperties>
</file>