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E" w:rsidRPr="00B05F9E" w:rsidRDefault="00B05F9E" w:rsidP="00B05F9E">
      <w:pPr>
        <w:spacing w:before="100" w:beforeAutospacing="1" w:after="100" w:afterAutospacing="1" w:line="240" w:lineRule="auto"/>
        <w:rPr>
          <w:rFonts w:asciiTheme="minorEastAsia" w:hAnsiTheme="minorEastAsia"/>
        </w:rPr>
      </w:pPr>
      <w:r w:rsidRPr="00B05F9E">
        <w:rPr>
          <w:rFonts w:asciiTheme="minorEastAsia" w:hAnsiTheme="minorEastAsia" w:hint="eastAsia"/>
        </w:rPr>
        <w:t>今年第一期的台灣衛</w:t>
      </w:r>
      <w:proofErr w:type="gramStart"/>
      <w:r w:rsidRPr="00B05F9E">
        <w:rPr>
          <w:rFonts w:asciiTheme="minorEastAsia" w:hAnsiTheme="minorEastAsia" w:hint="eastAsia"/>
        </w:rPr>
        <w:t>誌</w:t>
      </w:r>
      <w:proofErr w:type="gramEnd"/>
      <w:r w:rsidRPr="00B05F9E">
        <w:rPr>
          <w:rFonts w:asciiTheme="minorEastAsia" w:hAnsiTheme="minorEastAsia" w:hint="eastAsia"/>
        </w:rPr>
        <w:t>已經出刊，共計收錄10篇文章，其中「台灣不同地區之氣溫與全死因及心血管疾病死亡風險之相關分析」一文發現氣溫與地區兩項因素，影響心血管死亡</w:t>
      </w:r>
      <w:bookmarkStart w:id="0" w:name="_GoBack"/>
      <w:bookmarkEnd w:id="0"/>
      <w:r w:rsidRPr="00B05F9E">
        <w:rPr>
          <w:rFonts w:asciiTheme="minorEastAsia" w:hAnsiTheme="minorEastAsia" w:hint="eastAsia"/>
        </w:rPr>
        <w:t>甚大。</w:t>
      </w:r>
    </w:p>
    <w:p w:rsidR="00B05F9E" w:rsidRPr="00B05F9E" w:rsidRDefault="00B05F9E" w:rsidP="00B05F9E">
      <w:pPr>
        <w:spacing w:before="100" w:beforeAutospacing="1" w:after="100" w:afterAutospacing="1" w:line="240" w:lineRule="auto"/>
        <w:rPr>
          <w:rFonts w:asciiTheme="minorEastAsia" w:hAnsiTheme="minorEastAsia" w:hint="eastAsia"/>
        </w:rPr>
      </w:pPr>
      <w:r w:rsidRPr="00B05F9E">
        <w:rPr>
          <w:rFonts w:asciiTheme="minorEastAsia" w:hAnsiTheme="minorEastAsia" w:hint="eastAsia"/>
        </w:rPr>
        <w:t> 由中原大學生物環境工程系副教授王玉純等人組成的研究團隊，將台灣本島區分為7個區域，利用遞延非線性分配模式，分析各地區內民眾暴露在熱季(5-10月)及冷季(1-4月及11-12月)的死亡因素。</w:t>
      </w:r>
    </w:p>
    <w:p w:rsidR="00B05F9E" w:rsidRPr="00B05F9E" w:rsidRDefault="00B05F9E" w:rsidP="00B05F9E">
      <w:pPr>
        <w:spacing w:before="100" w:beforeAutospacing="1" w:after="100" w:afterAutospacing="1" w:line="240" w:lineRule="auto"/>
        <w:rPr>
          <w:rFonts w:asciiTheme="minorEastAsia" w:hAnsiTheme="minorEastAsia" w:hint="eastAsia"/>
        </w:rPr>
      </w:pPr>
      <w:r w:rsidRPr="00B05F9E">
        <w:rPr>
          <w:rFonts w:asciiTheme="minorEastAsia" w:hAnsiTheme="minorEastAsia" w:hint="eastAsia"/>
        </w:rPr>
        <w:t> 研究發現，台灣民眾暴露在低溫時的全死因及心血管死亡風險，大於高溫暴露之影響，且低溫下降相對風險明顯增加；其中心血管疾病死亡受到低溫影響更勝於全死因。而以心血管疾病來看，低溫影響桃竹苗最大，其次是雲嘉南、高屏及中彰投地區，至於台北、基宜及花東地區則沒有顯著相關。</w:t>
      </w:r>
    </w:p>
    <w:p w:rsidR="00B05F9E" w:rsidRPr="00B05F9E" w:rsidRDefault="00B05F9E" w:rsidP="00B05F9E">
      <w:pPr>
        <w:spacing w:before="100" w:beforeAutospacing="1" w:after="100" w:afterAutospacing="1" w:line="240" w:lineRule="auto"/>
        <w:rPr>
          <w:rFonts w:asciiTheme="minorEastAsia" w:hAnsiTheme="minorEastAsia" w:hint="eastAsia"/>
        </w:rPr>
      </w:pPr>
      <w:r w:rsidRPr="00B05F9E">
        <w:rPr>
          <w:rFonts w:asciiTheme="minorEastAsia" w:hAnsiTheme="minorEastAsia" w:hint="eastAsia"/>
        </w:rPr>
        <w:t> 研究發現，桃竹苗地區只要出現約</w:t>
      </w:r>
      <w:r w:rsidRPr="00B05F9E">
        <w:rPr>
          <w:rFonts w:asciiTheme="minorEastAsia" w:hAnsiTheme="minorEastAsia" w:cs="Arial"/>
        </w:rPr>
        <w:t>10</w:t>
      </w:r>
      <w:r w:rsidRPr="00B05F9E">
        <w:rPr>
          <w:rFonts w:asciiTheme="minorEastAsia" w:hAnsiTheme="minorEastAsia" w:hint="eastAsia"/>
        </w:rPr>
        <w:t>度低溫，心血管疾病死亡人數會比</w:t>
      </w:r>
      <w:r w:rsidRPr="00B05F9E">
        <w:rPr>
          <w:rFonts w:asciiTheme="minorEastAsia" w:hAnsiTheme="minorEastAsia" w:cs="Arial"/>
        </w:rPr>
        <w:t>29.5</w:t>
      </w:r>
      <w:r w:rsidRPr="00B05F9E">
        <w:rPr>
          <w:rFonts w:asciiTheme="minorEastAsia" w:hAnsiTheme="minorEastAsia" w:hint="eastAsia"/>
        </w:rPr>
        <w:t>度時增加</w:t>
      </w:r>
      <w:r w:rsidRPr="00B05F9E">
        <w:rPr>
          <w:rFonts w:asciiTheme="minorEastAsia" w:hAnsiTheme="minorEastAsia" w:cs="Arial"/>
        </w:rPr>
        <w:t>4</w:t>
      </w:r>
      <w:r w:rsidRPr="00B05F9E">
        <w:rPr>
          <w:rFonts w:asciiTheme="minorEastAsia" w:hAnsiTheme="minorEastAsia" w:hint="eastAsia"/>
        </w:rPr>
        <w:t>倍；高屏地區出現</w:t>
      </w:r>
      <w:r w:rsidRPr="00B05F9E">
        <w:rPr>
          <w:rFonts w:asciiTheme="minorEastAsia" w:hAnsiTheme="minorEastAsia" w:cs="Arial"/>
        </w:rPr>
        <w:t>17</w:t>
      </w:r>
      <w:r w:rsidRPr="00B05F9E">
        <w:rPr>
          <w:rFonts w:asciiTheme="minorEastAsia" w:hAnsiTheme="minorEastAsia" w:hint="eastAsia"/>
        </w:rPr>
        <w:t>至</w:t>
      </w:r>
      <w:r w:rsidRPr="00B05F9E">
        <w:rPr>
          <w:rFonts w:asciiTheme="minorEastAsia" w:hAnsiTheme="minorEastAsia" w:cs="Arial"/>
        </w:rPr>
        <w:t>18</w:t>
      </w:r>
      <w:r w:rsidRPr="00B05F9E">
        <w:rPr>
          <w:rFonts w:asciiTheme="minorEastAsia" w:hAnsiTheme="minorEastAsia" w:hint="eastAsia"/>
        </w:rPr>
        <w:t>度低溫，死亡人數會比</w:t>
      </w:r>
      <w:r w:rsidRPr="00B05F9E">
        <w:rPr>
          <w:rFonts w:asciiTheme="minorEastAsia" w:hAnsiTheme="minorEastAsia" w:cs="Arial"/>
        </w:rPr>
        <w:t>25.6</w:t>
      </w:r>
      <w:r w:rsidRPr="00B05F9E">
        <w:rPr>
          <w:rFonts w:asciiTheme="minorEastAsia" w:hAnsiTheme="minorEastAsia" w:hint="eastAsia"/>
        </w:rPr>
        <w:t>度時增加</w:t>
      </w:r>
      <w:r w:rsidRPr="00B05F9E">
        <w:rPr>
          <w:rFonts w:asciiTheme="minorEastAsia" w:hAnsiTheme="minorEastAsia" w:cs="Arial"/>
        </w:rPr>
        <w:t>1.65</w:t>
      </w:r>
      <w:r w:rsidRPr="00B05F9E">
        <w:rPr>
          <w:rFonts w:asciiTheme="minorEastAsia" w:hAnsiTheme="minorEastAsia" w:hint="eastAsia"/>
        </w:rPr>
        <w:t>倍；中彰投地區則在</w:t>
      </w:r>
      <w:r w:rsidRPr="00B05F9E">
        <w:rPr>
          <w:rFonts w:asciiTheme="minorEastAsia" w:hAnsiTheme="minorEastAsia" w:cs="Arial"/>
        </w:rPr>
        <w:t>13</w:t>
      </w:r>
      <w:r w:rsidRPr="00B05F9E">
        <w:rPr>
          <w:rFonts w:asciiTheme="minorEastAsia" w:hAnsiTheme="minorEastAsia" w:hint="eastAsia"/>
        </w:rPr>
        <w:t>度低溫時，死亡人數比</w:t>
      </w:r>
      <w:r w:rsidRPr="00B05F9E">
        <w:rPr>
          <w:rFonts w:asciiTheme="minorEastAsia" w:hAnsiTheme="minorEastAsia" w:cs="Arial"/>
        </w:rPr>
        <w:t>23.1</w:t>
      </w:r>
      <w:r w:rsidRPr="00B05F9E">
        <w:rPr>
          <w:rFonts w:asciiTheme="minorEastAsia" w:hAnsiTheme="minorEastAsia" w:hint="eastAsia"/>
        </w:rPr>
        <w:t>度時增加</w:t>
      </w:r>
      <w:r w:rsidRPr="00B05F9E">
        <w:rPr>
          <w:rFonts w:asciiTheme="minorEastAsia" w:hAnsiTheme="minorEastAsia" w:cs="Arial"/>
        </w:rPr>
        <w:t>1.58</w:t>
      </w:r>
      <w:r w:rsidRPr="00B05F9E">
        <w:rPr>
          <w:rFonts w:asciiTheme="minorEastAsia" w:hAnsiTheme="minorEastAsia" w:hint="eastAsia"/>
        </w:rPr>
        <w:t>倍。</w:t>
      </w:r>
    </w:p>
    <w:p w:rsidR="00B05F9E" w:rsidRPr="00B05F9E" w:rsidRDefault="00B05F9E" w:rsidP="00B05F9E">
      <w:pPr>
        <w:spacing w:before="100" w:beforeAutospacing="1" w:after="100" w:afterAutospacing="1" w:line="240" w:lineRule="auto"/>
        <w:rPr>
          <w:rFonts w:asciiTheme="minorEastAsia" w:hAnsiTheme="minorEastAsia" w:hint="eastAsia"/>
        </w:rPr>
      </w:pPr>
      <w:r w:rsidRPr="00B05F9E">
        <w:rPr>
          <w:rFonts w:asciiTheme="minorEastAsia" w:hAnsiTheme="minorEastAsia" w:hint="eastAsia"/>
        </w:rPr>
        <w:t> 研究團隊推測，桃竹苗地區深受低溫影響可能與老年人口較多、醫療資源缺乏有關，再加上該地屬於台地地形不僅風大，氣溫也較台北市盆地低。</w:t>
      </w:r>
    </w:p>
    <w:p w:rsidR="00B05F9E" w:rsidRPr="00B05F9E" w:rsidRDefault="00B05F9E" w:rsidP="00B05F9E">
      <w:pPr>
        <w:spacing w:before="100" w:beforeAutospacing="1" w:after="100" w:afterAutospacing="1" w:line="240" w:lineRule="auto"/>
        <w:rPr>
          <w:rFonts w:asciiTheme="minorEastAsia" w:hAnsiTheme="minorEastAsia" w:hint="eastAsia"/>
        </w:rPr>
      </w:pPr>
      <w:r w:rsidRPr="00B05F9E">
        <w:rPr>
          <w:rFonts w:asciiTheme="minorEastAsia" w:hAnsiTheme="minorEastAsia" w:hint="eastAsia"/>
        </w:rPr>
        <w:t> 另外德明財經科技大學財政稅務系助理教授梁景洋、中正大學社會福利系副教授鄭清霞則在健保滿20周年</w:t>
      </w:r>
      <w:proofErr w:type="gramStart"/>
      <w:r w:rsidRPr="00B05F9E">
        <w:rPr>
          <w:rFonts w:asciiTheme="minorEastAsia" w:hAnsiTheme="minorEastAsia" w:hint="eastAsia"/>
        </w:rPr>
        <w:t>前夕，</w:t>
      </w:r>
      <w:proofErr w:type="gramEnd"/>
      <w:r w:rsidRPr="00B05F9E">
        <w:rPr>
          <w:rFonts w:asciiTheme="minorEastAsia" w:hAnsiTheme="minorEastAsia" w:hint="eastAsia"/>
        </w:rPr>
        <w:t>針對補充保費進行研究；在這篇名為「補充保險費對解決健保財源不足問題的效果」的論文中，研究發現補充保費無法做為長期改善健保財源不足的財務措施。</w:t>
      </w:r>
    </w:p>
    <w:p w:rsidR="00B05F9E" w:rsidRPr="00B05F9E" w:rsidRDefault="00B05F9E" w:rsidP="00B05F9E">
      <w:pPr>
        <w:spacing w:before="100" w:beforeAutospacing="1" w:after="100" w:afterAutospacing="1" w:line="240" w:lineRule="auto"/>
        <w:rPr>
          <w:rFonts w:asciiTheme="minorEastAsia" w:hAnsiTheme="minorEastAsia" w:hint="eastAsia"/>
        </w:rPr>
      </w:pPr>
      <w:r w:rsidRPr="00B05F9E">
        <w:rPr>
          <w:rFonts w:asciiTheme="minorEastAsia" w:hAnsiTheme="minorEastAsia" w:hint="eastAsia"/>
        </w:rPr>
        <w:t> 雖然健保新制實施第一年收取的補充保險費高達402億元，但研究團隊推估，發現十年內的平衡費率將突破法定費率的上限(6%)。</w:t>
      </w:r>
    </w:p>
    <w:p w:rsidR="00B05F9E" w:rsidRPr="00B05F9E" w:rsidRDefault="00B05F9E" w:rsidP="00B05F9E">
      <w:pPr>
        <w:spacing w:before="100" w:beforeAutospacing="1" w:after="100" w:afterAutospacing="1" w:line="240" w:lineRule="auto"/>
        <w:rPr>
          <w:rFonts w:asciiTheme="minorEastAsia" w:hAnsiTheme="minorEastAsia" w:hint="eastAsia"/>
        </w:rPr>
      </w:pPr>
      <w:r w:rsidRPr="00B05F9E">
        <w:rPr>
          <w:rFonts w:asciiTheme="minorEastAsia" w:hAnsiTheme="minorEastAsia" w:hint="eastAsia"/>
        </w:rPr>
        <w:t> 研究假設以在補充保險費收入為高推估的情況下，自新制實施第一年起，因每年至少能維持一個月之安全準備，費率4.91%可維持五年無需調整，但2018年費率快速攀升至5.22%，其後每年皆調高費率，至第十年費率已高達5.88%，將逼近法定上限6%，屆時恐將面臨全民健康保險法再度修法的壓力。</w:t>
      </w:r>
    </w:p>
    <w:p w:rsidR="00B05F9E" w:rsidRPr="00B05F9E" w:rsidRDefault="00B05F9E" w:rsidP="00B05F9E">
      <w:pPr>
        <w:spacing w:before="100" w:beforeAutospacing="1" w:after="100" w:afterAutospacing="1" w:line="240" w:lineRule="auto"/>
        <w:rPr>
          <w:rFonts w:asciiTheme="minorEastAsia" w:hAnsiTheme="minorEastAsia" w:hint="eastAsia"/>
        </w:rPr>
      </w:pPr>
      <w:r w:rsidRPr="00B05F9E">
        <w:rPr>
          <w:rFonts w:asciiTheme="minorEastAsia" w:hAnsiTheme="minorEastAsia" w:hint="eastAsia"/>
        </w:rPr>
        <w:t> 研究團隊認為，健保新制的實施能緩衝或延後修法的時間僅有</w:t>
      </w:r>
      <w:proofErr w:type="gramStart"/>
      <w:r w:rsidRPr="00B05F9E">
        <w:rPr>
          <w:rFonts w:asciiTheme="minorEastAsia" w:hAnsiTheme="minorEastAsia" w:hint="eastAsia"/>
        </w:rPr>
        <w:t>一</w:t>
      </w:r>
      <w:proofErr w:type="gramEnd"/>
      <w:r w:rsidRPr="00B05F9E">
        <w:rPr>
          <w:rFonts w:asciiTheme="minorEastAsia" w:hAnsiTheme="minorEastAsia" w:hint="eastAsia"/>
        </w:rPr>
        <w:t>至三年，補充保險費只是短暫改善財務問題的措施，並無法長久改善健保財務失衡。</w:t>
      </w:r>
    </w:p>
    <w:sectPr w:rsidR="00B05F9E" w:rsidRPr="00B05F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9E"/>
    <w:rsid w:val="001D68AA"/>
    <w:rsid w:val="002A732A"/>
    <w:rsid w:val="00B05F9E"/>
    <w:rsid w:val="00CE75C2"/>
    <w:rsid w:val="00E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AFFA8-10E8-4685-98DC-2611A038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23"/>
    <w:pPr>
      <w:widowControl w:val="0"/>
      <w:spacing w:line="480" w:lineRule="auto"/>
    </w:pPr>
  </w:style>
  <w:style w:type="paragraph" w:styleId="1">
    <w:name w:val="heading 1"/>
    <w:basedOn w:val="a"/>
    <w:next w:val="a"/>
    <w:link w:val="10"/>
    <w:uiPriority w:val="9"/>
    <w:qFormat/>
    <w:rsid w:val="002A732A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732A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a3">
    <w:name w:val="首頁標題"/>
    <w:basedOn w:val="a"/>
    <w:autoRedefine/>
    <w:qFormat/>
    <w:rsid w:val="00CE75C2"/>
    <w:pPr>
      <w:ind w:left="3123" w:hangingChars="1300" w:hanging="3123"/>
      <w:jc w:val="center"/>
    </w:pPr>
    <w:rPr>
      <w:rFonts w:asciiTheme="minorEastAsia" w:hAnsiTheme="minorEastAsia" w:cs="Times New Roman"/>
      <w:b/>
      <w:color w:val="000000"/>
      <w:szCs w:val="24"/>
    </w:rPr>
  </w:style>
  <w:style w:type="paragraph" w:customStyle="1" w:styleId="a4">
    <w:name w:val="兩倍行高"/>
    <w:basedOn w:val="a"/>
    <w:autoRedefine/>
    <w:rsid w:val="00CE7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Title"/>
    <w:basedOn w:val="a"/>
    <w:link w:val="a6"/>
    <w:qFormat/>
    <w:rsid w:val="00ED2B23"/>
    <w:pPr>
      <w:jc w:val="center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a6">
    <w:name w:val="標題 字元"/>
    <w:basedOn w:val="a0"/>
    <w:link w:val="a5"/>
    <w:rsid w:val="00ED2B23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NEI</dc:creator>
  <cp:keywords/>
  <dc:description/>
  <cp:lastModifiedBy>ALMA NEI</cp:lastModifiedBy>
  <cp:revision>1</cp:revision>
  <dcterms:created xsi:type="dcterms:W3CDTF">2015-03-04T01:55:00Z</dcterms:created>
  <dcterms:modified xsi:type="dcterms:W3CDTF">2015-03-04T01:57:00Z</dcterms:modified>
</cp:coreProperties>
</file>